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8.png" ContentType="image/png"/>
  <Override PartName="/word/media/rId33.png" ContentType="image/png"/>
  <Override PartName="/word/media/rId48.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Oxygen</w:t>
      </w:r>
      <w:r>
        <w:t xml:space="preserve"> </w:t>
      </w:r>
      <w:r>
        <w:t xml:space="preserve">Wong et al. (2023)</w:t>
      </w:r>
      <w:r>
        <w:t xml:space="preserve"> </w:t>
      </w:r>
      <w:r>
        <w:t xml:space="preserve">Breitburg et al. (2018)</w:t>
      </w:r>
      <w:r>
        <w:t xml:space="preserve"> </w:t>
      </w:r>
      <w:r>
        <w:t xml:space="preserve">Ulloa et al. (2012)</w:t>
      </w:r>
    </w:p>
    <w:p>
      <w:pPr>
        <w:pStyle w:val="BodyText"/>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mid-20th 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Colour</w:t>
      </w:r>
      <w:r>
        <w:t xml:space="preserve"> </w:t>
      </w:r>
      <w:r>
        <w:t xml:space="preserve">XXX</w:t>
      </w:r>
    </w:p>
    <w:p>
      <w:pPr>
        <w:pStyle w:val="BodyText"/>
      </w:pPr>
      <w:r>
        <w:t xml:space="preserve">The aim of this work was to demonstrate the ecophysiological response of PC-rich and PE-rich</w:t>
      </w:r>
      <w:r>
        <w:t xml:space="preserve"> </w:t>
      </w:r>
      <w:r>
        <w:rPr>
          <w:iCs/>
          <w:i/>
        </w:rPr>
        <w:t xml:space="preserve">Synechococcus</w:t>
      </w:r>
      <w:r>
        <w:t xml:space="preserve"> </w:t>
      </w:r>
      <w:r>
        <w:t xml:space="preserve">sp. to different oxygen concentrations and colors of light.</w:t>
      </w:r>
    </w:p>
    <w:p>
      <w:pPr>
        <w:pStyle w:val="BodyText"/>
      </w:pPr>
    </w:p>
    <w:bookmarkEnd w:id="22"/>
    <w:bookmarkStart w:id="32"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cultures of PC-rich (CCBA_077) and PE-rich (CCBA_127)</w:t>
      </w:r>
      <w:r>
        <w:t xml:space="preserve"> </w:t>
      </w:r>
      <w:r>
        <w:rPr>
          <w:iCs/>
          <w:i/>
        </w:rPr>
        <w:t xml:space="preserve">Synechococcus</w:t>
      </w:r>
      <w:r>
        <w:t xml:space="preserve"> </w:t>
      </w:r>
      <w:r>
        <w:t xml:space="preserve">sp. were obtained from the Culture Collection of Baltic Algae (</w:t>
      </w:r>
      <w:hyperlink r:id="rId23">
        <w:r>
          <w:rPr>
            <w:rStyle w:val="Hyperlink"/>
          </w:rPr>
          <w:t xml:space="preserve">https://ccba.ug.edu.pl/pages/en/home.php</w:t>
        </w:r>
      </w:hyperlink>
      <w:r>
        <w:t xml:space="preserve">)</w:t>
      </w:r>
      <w:r>
        <w:t xml:space="preserve"> </w:t>
      </w:r>
      <w:r>
        <w:t xml:space="preserve">(Latala et al. 2006)</w:t>
      </w:r>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prepared at a salinity of 8 PSU, reflective of their natural brackish habitat. Pre-cultures were maintained in incubators with full air saturated dissolved oxygen concentration [O</w:t>
      </w:r>
      <w:r>
        <w:rPr>
          <w:vertAlign w:val="subscript"/>
        </w:rPr>
        <w:t xml:space="preserve">2</w:t>
      </w:r>
      <w:r>
        <w:t xml:space="preserve">] of 250 µM,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from Philips Cool White F14T5/841 Alto, 14 watts, fluorescent bulbs.</w:t>
      </w:r>
    </w:p>
    <w:p>
      <w:pPr>
        <w:pStyle w:val="BodyText"/>
      </w:pPr>
      <w:r>
        <w:t xml:space="preserve">Controlled growth experiments were performed using MCMIX-OD PSI Multicultivators (Photon Systems Instruments, Drásov, Czech Republic) set to 22℃. Each of 8 round bottom cylindrical glass tubes contained 75 mL of f/2 medium and 5 mL of growing pre-culture. These parameters allowed for exponential growth of the cultures from the beginning of the experiment, with little lag phase. Inoculation of culture tubes took place in the afternoon, with a period of low light and then 12 h darkness before a sinusoidal 12 h photoperiod cycle commenced at 07:00 the following morning, with peak PAR of 180 µmol photons m</w:t>
      </w:r>
      <w:r>
        <w:rPr>
          <w:vertAlign w:val="superscript"/>
        </w:rPr>
        <w:t xml:space="preserve">−2</w:t>
      </w:r>
      <w:r>
        <w:t xml:space="preserve">s</w:t>
      </w:r>
      <w:r>
        <w:rPr>
          <w:vertAlign w:val="superscript"/>
        </w:rPr>
        <w:t xml:space="preserve">−1</w:t>
      </w:r>
      <w:r>
        <w:t xml:space="preserve"> </w:t>
      </w:r>
      <w:r>
        <w:t xml:space="preserve">reached at 13:00 each day.</w:t>
      </w:r>
    </w:p>
    <w:p>
      <w:pPr>
        <w:pStyle w:val="BodyText"/>
      </w:pPr>
      <w:r>
        <w:t xml:space="preserve">Each tube was maintained under an individual combination of one of 7 spectral wavebands (centred at 405, 450, 470, 530, 620, 660, or 730 nm); at 250 µM or 2.5 µM [O</w:t>
      </w:r>
      <w:r>
        <w:rPr>
          <w:vertAlign w:val="subscript"/>
        </w:rPr>
        <w:t xml:space="preserve">2</w:t>
      </w:r>
      <w:r>
        <w:t xml:space="preserve">]. Culture tubes were closed with a silicone inert silicone stopper perforated by an aeration input tube extending to the bottom of the culture tube, and a pressure outlet tube. We used aeration with a total gas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provided via a G400 gas mixing system (Qubit Systems Inc., Kingston, Ontario, Canada). ~ 250 µM [O</w:t>
      </w:r>
      <w:r>
        <w:rPr>
          <w:vertAlign w:val="subscript"/>
        </w:rPr>
        <w:t xml:space="preserve">2</w:t>
      </w:r>
      <w:r>
        <w:t xml:space="preserve">]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 2.5 µM [O</w:t>
      </w:r>
      <w:r>
        <w:rPr>
          <w:vertAlign w:val="subscript"/>
        </w:rPr>
        <w:t xml:space="preserve">2</w:t>
      </w:r>
      <w:r>
        <w:t xml:space="preserve">]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(data not presented), with software correction to account for the salinity of the media (8 PSU). The pH of tested cultures remained about 8, with limited fluctuation during the growth experiment (data not presented).</w:t>
      </w:r>
    </w:p>
    <w:p>
      <w:pPr>
        <w:pStyle w:val="BodyText"/>
      </w:pPr>
    </w:p>
    <w:bookmarkEnd w:id="24"/>
    <w:bookmarkStart w:id="25" w:name="chlorophyll-specific-growth-rates"/>
    <w:p>
      <w:pPr>
        <w:pStyle w:val="Heading2"/>
      </w:pPr>
      <w:r>
        <w:t xml:space="preserve">Chlorophyll-specific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5 days, independently for each culture tube. The chlorophyll-specific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waveband, and [O</w:t>
      </w:r>
      <w:r>
        <w:rPr>
          <w:vertAlign w:val="subscript"/>
        </w:rPr>
        <w:t xml:space="preserve">2</w:t>
      </w:r>
      <w:r>
        <w:t xml:space="preserve">]. Growth curves, tracked as OD</w:t>
      </w:r>
      <w:r>
        <w:rPr>
          <w:vertAlign w:val="subscript"/>
        </w:rPr>
        <w:t xml:space="preserve">680</w:t>
      </w:r>
      <w:r>
        <w:t xml:space="preserve">, OD</w:t>
      </w:r>
      <w:r>
        <w:rPr>
          <w:vertAlign w:val="subscript"/>
        </w:rPr>
        <w:t xml:space="preserve">720</w:t>
      </w:r>
      <w:r>
        <w:t xml:space="preserve">, ΔOD and logistic fits of ΔOD vs. elapsed time are shown in Fig. S1 in Supplementary materials. Cell-specific growth rates (µ) were also determined using OD</w:t>
      </w:r>
      <w:r>
        <w:rPr>
          <w:vertAlign w:val="subscript"/>
        </w:rPr>
        <w:t xml:space="preserve">720</w:t>
      </w:r>
      <w:r>
        <w:t xml:space="preserve"> </w:t>
      </w:r>
      <w:r>
        <w:t xml:space="preserve">(Fig. S2).</w:t>
      </w:r>
    </w:p>
    <w:p>
      <w:pPr>
        <w:pStyle w:val="BodyText"/>
      </w:pPr>
    </w:p>
    <w:bookmarkEnd w:id="25"/>
    <w:bookmarkStart w:id="26" w:name="picocyanobacteria-cell-counts"/>
    <w:p>
      <w:pPr>
        <w:pStyle w:val="Heading2"/>
      </w:pPr>
      <w:r>
        <w:t xml:space="preserve">Picocyanobacteria cell counts</w:t>
      </w:r>
    </w:p>
    <w:p>
      <w:pPr>
        <w:pStyle w:val="FirstParagraph"/>
      </w:pPr>
      <w:r>
        <w:t xml:space="preserve">Picocyanobacterial cells mL</w:t>
      </w:r>
      <w:r>
        <w:rPr>
          <w:vertAlign w:val="superscript"/>
        </w:rPr>
        <w:t xml:space="preserve">−1</w:t>
      </w:r>
      <w:r>
        <w:t xml:space="preserve"> </w:t>
      </w:r>
      <w:r>
        <w:t xml:space="preserve">were estimated using linear regression models of OD at 680 nm or 720 nm vs. calibration counts of cell suspension densities (cell mL</w:t>
      </w:r>
      <w:r>
        <w:rPr>
          <w:vertAlign w:val="superscript"/>
        </w:rPr>
        <w:t xml:space="preserve">−1</w:t>
      </w:r>
      <w:r>
        <w:t xml:space="preserve">) (Table S1). The OD of cultures was measured using MCMIX-OD PSI Multicultivators (Photon Systems Instruments, Drásov, Czech Republic) and cell suspension density measures were conducted using an ImageXpress Pico Digital microscope equipped with CMOS camera and LED+ image autofocus (ImageXpress Pico Automated Cell Imaging System, Molecular Devices, LLC., CA, USA). Culture samples were preserved with 4% glutaraldehyde and kept at -80°C until the microscopy measures. Fixed samples of culture (V = 10 µL) were transferred to Tissue Culture (TC)-treated surface, flat bottom black 96-well plates (Corning® Falcon® Microplate, MilliporeSigma, Merck, Darmstadt, Germany) containing 200 µL of f/2 media and centrifuged using a Beckman J-20 centrifuge with a swinging bucket JS-4.3 rotor at 4500 rpm (Beckman Coulter, Brea, California, United States). Cells were imaged with the Cy5 channels (Excitation: 630/40 nm; Emission: 695/45 nm; Dichroic: 655 nm) using selectable confocal geometries, which allowed us to distinguish cyanobacterial cells from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mL</w:t>
      </w:r>
      <w:r>
        <w:rPr>
          <w:vertAlign w:val="superscript"/>
        </w:rPr>
        <w:t xml:space="preserve">−1</w:t>
      </w:r>
      <w:r>
        <w:t xml:space="preserve"> </w:t>
      </w:r>
      <w:r>
        <w:t xml:space="preserve">was calculated based on the dilution factor and selected count area from each well</w:t>
      </w:r>
      <w:r>
        <w:t xml:space="preserve"> </w:t>
      </w:r>
      <w:r>
        <w:t xml:space="preserve">(Wlodkowic et al. 2022)</w:t>
      </w:r>
      <w:r>
        <w:t xml:space="preserve">.</w:t>
      </w:r>
    </w:p>
    <w:p>
      <w:pPr>
        <w:pStyle w:val="BodyText"/>
      </w:pPr>
    </w:p>
    <w:bookmarkEnd w:id="26"/>
    <w:bookmarkStart w:id="27" w:name="pigment-content-and-pigment-ratio"/>
    <w:p>
      <w:pPr>
        <w:pStyle w:val="Heading2"/>
      </w:pPr>
      <w:r>
        <w:t xml:space="preserve">Pigment content and pigment ratio</w:t>
      </w:r>
    </w:p>
    <w:p>
      <w:pPr>
        <w:pStyle w:val="FirstParagraph"/>
      </w:pPr>
      <w:r>
        <w:t xml:space="preserve">Whole-cell absorbance spectra of picocyanobacteria cells were collected using an integrating cavity spectrophotometer (CLARiTY 17 UV/Vis/NIR, On-Line Instrument Systems, Inc., Bogart, GA, USA) according to the method proposed by</w:t>
      </w:r>
      <w:r>
        <w:t xml:space="preserve"> </w:t>
      </w:r>
      <w:r>
        <w:t xml:space="preserve">Blake and Griff (2012)</w:t>
      </w:r>
      <w:r>
        <w:t xml:space="preserve">. The sample and reference observation cavities of the spectrophotometer were filled with 8 mL of f/2 medium at salinity 8 PSU. After establishing a baseline absorbance spectra from 375 to 710 nm, 4 mL culture medium was replaced with 4 mL of culture in the sample cavity. Pathlength corrected absorbance per cm was calculated using Jávorfi coefficients</w:t>
      </w:r>
      <w:r>
        <w:t xml:space="preserve"> </w:t>
      </w:r>
      <w:r>
        <w:t xml:space="preserve">(Jávorfi et al. 2006)</w:t>
      </w:r>
      <w:r>
        <w:t xml:space="preserve">. We then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from the PC-rich and PE-rich</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S2). We also summed PE, PC, and APC protein to total Phycobiliproteins content. We then calculated the Car to Chl</w:t>
      </w:r>
      <w:r>
        <w:t xml:space="preserve"> </w:t>
      </w:r>
      <w:r>
        <w:rPr>
          <w:iCs/>
          <w:i/>
        </w:rPr>
        <w:t xml:space="preserve">a</w:t>
      </w:r>
      <w:r>
        <w:t xml:space="preserve"> </w:t>
      </w:r>
      <w:r>
        <w:t xml:space="preserve">ratio, and the ratio of the sum of Phycobiliproteins to Chl</w:t>
      </w:r>
      <w:r>
        <w:t xml:space="preserve"> </w:t>
      </w:r>
      <w:r>
        <w:rPr>
          <w:iCs/>
          <w:i/>
        </w:rPr>
        <w:t xml:space="preserve">a</w:t>
      </w:r>
      <w:r>
        <w:t xml:space="preserve"> </w:t>
      </w:r>
      <w:r>
        <w:t xml:space="preserve">(µg:µg) for each strain (Fig. S3).</w:t>
      </w:r>
    </w:p>
    <w:p>
      <w:pPr>
        <w:pStyle w:val="BodyText"/>
      </w:pPr>
    </w:p>
    <w:bookmarkEnd w:id="27"/>
    <w:bookmarkStart w:id="28" w:name="X99ac4675dae355317cc2836d95b32e397baf6e5"/>
    <w:p>
      <w:pPr>
        <w:pStyle w:val="Heading2"/>
      </w:pPr>
      <w:r>
        <w:t xml:space="preserve">PSII effective absorption cross section of PSII, turnover time of PSII photochemistry, and photochemical quenching coefficient</w:t>
      </w:r>
    </w:p>
    <w:p>
      <w:pPr>
        <w:pStyle w:val="FirstParagraph"/>
      </w:pPr>
      <w:r>
        <w:t xml:space="preserve">We harvested 4 mL of picocyanobacteria cultures repeatedly across the growth trajectories for photophysiological characterizations. For the low oxygen cultures, to ensure photophysiological measurements were taken at low O</w:t>
      </w:r>
      <w:r>
        <w:rPr>
          <w:vertAlign w:val="subscript"/>
        </w:rPr>
        <w:t xml:space="preserve">2</w:t>
      </w:r>
      <w:r>
        <w:t xml:space="preserve"> </w:t>
      </w:r>
      <w:r>
        <w:t xml:space="preserve">of ~ 2.5 µM, we bubbled gently with N</w:t>
      </w:r>
      <w:r>
        <w:rPr>
          <w:vertAlign w:val="subscript"/>
        </w:rPr>
        <w:t xml:space="preserve">2</w:t>
      </w:r>
      <w:r>
        <w:t xml:space="preserve"> </w:t>
      </w:r>
      <w:r>
        <w:t xml:space="preserve">from a gas cylinder during measurements. [O</w:t>
      </w:r>
      <w:r>
        <w:rPr>
          <w:vertAlign w:val="subscript"/>
        </w:rPr>
        <w:t xml:space="preserve">2</w:t>
      </w:r>
      <w:r>
        <w:t xml:space="preserve">] was verified in culture samples for photophysiological measurements using oxygen optodes (PyroScience, Germany) inserted (data not presented).</w:t>
      </w:r>
    </w:p>
    <w:p>
      <w:pPr>
        <w:pStyle w:val="BodyText"/>
      </w:pPr>
      <w:r>
        <w:t xml:space="preserve">We used Fast Repetition &amp; Relaxation chlorophyll fluorescence (FRRf)</w:t>
      </w:r>
      <w:r>
        <w:t xml:space="preserve"> </w:t>
      </w:r>
      <w:r>
        <w:t xml:space="preserve">(Kolber et al. 1998)</w:t>
      </w:r>
      <w:r>
        <w:t xml:space="preserve"> </w:t>
      </w:r>
      <w:r>
        <w:t xml:space="preserve">(Solisense, USA), with a lab built temperature control jacket (22℃), to apply a series of 100 excitation flashlets of 1.6 µs to drive saturation of PSII variable fluorescence, followed immediately by logarithmically spaced flashlets to track relaxation of variable fluorescence. Induction/relaxation trajectories were fit using the onboard Solisense LIFT software</w:t>
      </w:r>
      <w:r>
        <w:t xml:space="preserve"> </w:t>
      </w:r>
      <w:r>
        <w:t xml:space="preserve">(Falkowski and Kolber 1993; Kolber et al. 1998)</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actinic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We applied 1 s darkness between the sequential 10 s steps of the light response curves, to allow re-opening of PSII immediately after application of the sequential increasing light steps. Flashlets and actinic light were delivered from LED emitters centred at Ex</w:t>
      </w:r>
      <w:r>
        <w:rPr>
          <w:vertAlign w:val="subscript"/>
        </w:rPr>
        <w:t xml:space="preserve">445nm</w:t>
      </w:r>
      <w:r>
        <w:t xml:space="preserve">, preferentially exciting chlorophyll; Ex</w:t>
      </w:r>
      <w:r>
        <w:rPr>
          <w:vertAlign w:val="subscript"/>
        </w:rPr>
        <w:t xml:space="preserve">470nm</w:t>
      </w:r>
      <w:r>
        <w:t xml:space="preserve">,, preferentially exciting phycourobilin (PUB); Ex</w:t>
      </w:r>
      <w:r>
        <w:rPr>
          <w:vertAlign w:val="subscript"/>
        </w:rPr>
        <w:t xml:space="preserve">535nm</w:t>
      </w:r>
      <w:r>
        <w:t xml:space="preserve">, preferentially exciting phycoerythrin (PE); or Ex</w:t>
      </w:r>
      <w:r>
        <w:rPr>
          <w:vertAlign w:val="subscript"/>
        </w:rPr>
        <w:t xml:space="preserve">590nm</w:t>
      </w:r>
      <w:r>
        <w:t xml:space="preserve">, preferentially exciting phycocyanin (PC). Excitation flashlets and actinic light wavebands were matched for each run. These actinic and excitation wavebands in turn approximated 4 of our 7 growth light wavebands (450, 470, 530 &amp; 620 nm), allowing us to evaluate</w:t>
      </w:r>
      <w:r>
        <w:t xml:space="preserve"> </w:t>
      </w:r>
      <w:r>
        <w:rPr>
          <w:iCs/>
          <w:i/>
        </w:rPr>
        <w:t xml:space="preserve">in situ</w:t>
      </w:r>
      <w:r>
        <w:t xml:space="preserve"> </w:t>
      </w:r>
      <w:r>
        <w:t xml:space="preserve">photosynthetic performance for those culture conditions.</w:t>
      </w:r>
    </w:p>
    <w:p>
      <w:pPr>
        <w:pStyle w:val="BodyText"/>
      </w:pPr>
      <w:r>
        <w:t xml:space="preserve">Flashlet power delivered to the samples during the 1.6 µs flashlet duration was adjusted to achieve saturation of variable fluorescence; Ex</w:t>
      </w:r>
      <w:r>
        <w:rPr>
          <w:vertAlign w:val="subscript"/>
        </w:rPr>
        <w:t xml:space="preserve">445nm</w:t>
      </w:r>
      <w:r>
        <w:t xml:space="preserve"> </w:t>
      </w:r>
      <w:r>
        <w:t xml:space="preserve">at 60000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470nm</w:t>
      </w:r>
      <w:r>
        <w:t xml:space="preserve"> </w:t>
      </w:r>
      <w:r>
        <w:t xml:space="preserve">at 30000 µmol photons m</w:t>
      </w:r>
      <w:r>
        <w:rPr>
          <w:vertAlign w:val="superscript"/>
        </w:rPr>
        <w:t xml:space="preserve">−2</w:t>
      </w:r>
      <w:r>
        <w:t xml:space="preserve">s</w:t>
      </w:r>
      <w:r>
        <w:rPr>
          <w:vertAlign w:val="superscript"/>
        </w:rPr>
        <w:t xml:space="preserve">−1</w:t>
      </w:r>
      <w:r>
        <w:t xml:space="preserve"> </w:t>
      </w:r>
      <w:r>
        <w:t xml:space="preserve">PAR; Ex</w:t>
      </w:r>
      <w:r>
        <w:rPr>
          <w:vertAlign w:val="subscript"/>
        </w:rPr>
        <w:t xml:space="preserve">535nm</w:t>
      </w:r>
      <w:r>
        <w:t xml:space="preserve"> </w:t>
      </w:r>
      <w:r>
        <w:t xml:space="preserve">at 25000 µmol photons m</w:t>
      </w:r>
      <w:r>
        <w:rPr>
          <w:vertAlign w:val="superscript"/>
        </w:rPr>
        <w:t xml:space="preserve">−2</w:t>
      </w:r>
      <w:r>
        <w:t xml:space="preserve">s</w:t>
      </w:r>
      <w:r>
        <w:rPr>
          <w:vertAlign w:val="superscript"/>
        </w:rPr>
        <w:t xml:space="preserve">−1</w:t>
      </w:r>
      <w:r>
        <w:t xml:space="preserve"> </w:t>
      </w:r>
      <w:r>
        <w:t xml:space="preserve">PAR; while for Ex</w:t>
      </w:r>
      <w:r>
        <w:rPr>
          <w:vertAlign w:val="subscript"/>
        </w:rPr>
        <w:t xml:space="preserve">590nm</w:t>
      </w:r>
      <w:r>
        <w:t xml:space="preserve"> </w:t>
      </w:r>
      <w:r>
        <w:t xml:space="preserve">excitation power at 14000 µmol photons m</w:t>
      </w:r>
      <w:r>
        <w:rPr>
          <w:vertAlign w:val="superscript"/>
        </w:rPr>
        <w:t xml:space="preserve">−2</w:t>
      </w:r>
      <w:r>
        <w:t xml:space="preserve">s</w:t>
      </w:r>
      <w:r>
        <w:rPr>
          <w:vertAlign w:val="superscript"/>
        </w:rPr>
        <w:t xml:space="preserve">−1</w:t>
      </w:r>
      <w:r>
        <w:t xml:space="preserve">, calibrated using a quantum sensor (LI-250, LI-COR, Inc.) in the temperature controlled cuvette.</w:t>
      </w:r>
    </w:p>
    <w:p>
      <w:pPr>
        <w:pStyle w:val="BodyText"/>
      </w:pPr>
      <w:r>
        <w:t xml:space="preserve">We estimated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the photochemical quenching coefficient (q</w:t>
      </w:r>
      <w:r>
        <w:rPr>
          <w:vertAlign w:val="subscript"/>
        </w:rPr>
        <w:t xml:space="preserve">P</w:t>
      </w:r>
      <w:r>
        <w:t xml:space="preserve">) using the FRRf induction curves, following</w:t>
      </w:r>
      <w:r>
        <w:t xml:space="preserve"> </w:t>
      </w:r>
      <w:r>
        <w:t xml:space="preserve">(Xu et al. 2017)</w:t>
      </w:r>
      <w:r>
        <w:t xml:space="preserve">.</w:t>
      </w:r>
    </w:p>
    <w:p>
      <w:pPr>
        <w:pStyle w:val="BodyText"/>
      </w:pPr>
    </w:p>
    <w:bookmarkEnd w:id="28"/>
    <w:bookmarkStart w:id="29" w:name="psii-electron-flux"/>
    <w:p>
      <w:pPr>
        <w:pStyle w:val="Heading2"/>
      </w:pPr>
      <w:r>
        <w:t xml:space="preserve">PSII electron flux</w:t>
      </w:r>
    </w:p>
    <w:p>
      <w:pPr>
        <w:pStyle w:val="FirstParagraph"/>
      </w:pPr>
      <w:r>
        <w:t xml:space="preserve">We calculated (Eq. (1))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red-orange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waveband (relative fluorescence) and σ</w:t>
      </w:r>
      <w:r>
        <w:rPr>
          <w:vertAlign w:val="subscript"/>
        </w:rPr>
        <w:t xml:space="preserve">PSII</w:t>
      </w:r>
      <w:r>
        <w:t xml:space="preserve"> </w:t>
      </w:r>
      <w:r>
        <w:t xml:space="preserve">is the maximum effective absorption cross section for PSII photochemistry from a given sample and excitation waveband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(2))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taken below light saturation of electron transport to limit distortion from electron fluxes back to oxygen under super-saturating light</w:t>
      </w:r>
      <w:r>
        <w:t xml:space="preserve"> </w:t>
      </w:r>
      <w:r>
        <w:t xml:space="preserve">(Hughes et al. 2018)</w:t>
      </w:r>
      <w:r>
        <w:t xml:space="preserve">, using a FireSting robust oxygen probe (PyroScience, Germany) inserted in the cuvette for select Rapid Light Curve (RLC) runs (Table S3).</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2</m:t>
              </m:r>
            </m:e>
          </m:d>
        </m:oMath>
      </m:oMathPara>
    </w:p>
    <w:p>
      <w:pPr>
        <w:pStyle w:val="FirstParagraph"/>
      </w:pPr>
      <w:r>
        <w:t xml:space="preserve">For the samples for FRRf measurements, Chl</w:t>
      </w:r>
      <w:r>
        <w:t xml:space="preserve"> </w:t>
      </w:r>
      <w:r>
        <w:rPr>
          <w:iCs/>
          <w:i/>
        </w:rPr>
        <w:t xml:space="preserve">a</w:t>
      </w:r>
      <w:r>
        <w:t xml:space="preserve"> </w:t>
      </w:r>
      <w:r>
        <w:t xml:space="preserve">(µg mL</w:t>
      </w:r>
      <w:r>
        <w:rPr>
          <w:vertAlign w:val="superscript"/>
        </w:rPr>
        <w:t xml:space="preserve">−1</w:t>
      </w:r>
      <w:r>
        <w:t xml:space="preserve">) was also measured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p>
    <w:bookmarkEnd w:id="29"/>
    <w:bookmarkStart w:id="31"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growth waveband, and [O</w:t>
      </w:r>
      <w:r>
        <w:rPr>
          <w:vertAlign w:val="subscript"/>
        </w:rPr>
        <w:t xml:space="preserve">2</w:t>
      </w:r>
      <w:r>
        <w:t xml:space="preserve">] significantly influence the chlorophyll-specific growth rate (µ; d</w:t>
      </w:r>
      <w:r>
        <w:rPr>
          <w:vertAlign w:val="superscript"/>
        </w:rPr>
        <w:t xml:space="preserve">−1</w:t>
      </w:r>
      <w:r>
        <w:t xml:space="preserve">; Tab. S4) vs. pigment content (Tab. S5). We also performed three-way factorial ANOVA (</w:t>
      </w:r>
      <w:r>
        <w:rPr>
          <w:iCs/>
          <w:i/>
        </w:rPr>
        <w:t xml:space="preserve">aov()</w:t>
      </w:r>
      <w:r>
        <w:t xml:space="preserve"> </w:t>
      </w:r>
      <w:r>
        <w:t xml:space="preserve">function) to determine whether strain, Actinic PAR, and [O</w:t>
      </w:r>
      <w:r>
        <w:rPr>
          <w:vertAlign w:val="subscript"/>
        </w:rPr>
        <w:t xml:space="preserve">2</w:t>
      </w:r>
      <w:r>
        <w:t xml:space="preserve">] significantly influence the responses of σ</w:t>
      </w:r>
      <w:r>
        <w:rPr>
          <w:vertAlign w:val="subscript"/>
        </w:rPr>
        <w:t xml:space="preserve">PSII</w:t>
      </w:r>
      <w:r>
        <w:t xml:space="preserve"> </w:t>
      </w:r>
      <w:r>
        <w:t xml:space="preserve">(Tab. S6); τ</w:t>
      </w:r>
      <w:r>
        <w:rPr>
          <w:vertAlign w:val="subscript"/>
        </w:rPr>
        <w:t xml:space="preserve">PSII</w:t>
      </w:r>
      <w:r>
        <w:t xml:space="preserve"> </w:t>
      </w:r>
      <w:r>
        <w:t xml:space="preserve">(Tab. S7); or q</w:t>
      </w:r>
      <w:r>
        <w:rPr>
          <w:vertAlign w:val="subscript"/>
        </w:rPr>
        <w:t xml:space="preserve">P</w:t>
      </w:r>
      <w:r>
        <w:t xml:space="preserve"> </w:t>
      </w:r>
      <w:r>
        <w:t xml:space="preserve">to increasing light (Tab. S8).</w:t>
      </w:r>
    </w:p>
    <w:p>
      <w:pPr>
        <w:pStyle w:val="BodyText"/>
      </w:pPr>
      <w:r>
        <w:t xml:space="preserve">We used</w:t>
      </w:r>
      <w:r>
        <w:t xml:space="preserve"> </w:t>
      </w:r>
      <w:r>
        <w:rPr>
          <w:iCs/>
          <w:i/>
        </w:rPr>
        <w:t xml:space="preserve">t</w:t>
      </w:r>
      <w:r>
        <w:t xml:space="preserve">-tests of linear regressions to compare data across different strains and [O</w:t>
      </w:r>
      <w:r>
        <w:rPr>
          <w:vertAlign w:val="subscript"/>
        </w:rPr>
        <w:t xml:space="preserve">2</w:t>
      </w:r>
      <w:r>
        <w:t xml:space="preserve">] for a given growth waveband, for chlorophyll-specific growth rate vs. Phycobiliproteins to Chl</w:t>
      </w:r>
      <w:r>
        <w:t xml:space="preserve"> </w:t>
      </w:r>
      <w:r>
        <w:rPr>
          <w:iCs/>
          <w:i/>
        </w:rPr>
        <w:t xml:space="preserve">a</w:t>
      </w:r>
      <w:r>
        <w:t xml:space="preserve"> </w:t>
      </w:r>
      <w:r>
        <w:t xml:space="preserve">ratio (Tab. S9). We also performed</w:t>
      </w:r>
      <w:r>
        <w:t xml:space="preserve"> </w:t>
      </w:r>
      <w:r>
        <w:rPr>
          <w:iCs/>
          <w:i/>
        </w:rPr>
        <w:t xml:space="preserve">t</w:t>
      </w:r>
      <w:r>
        <w:t xml:space="preserve">-tests of linear fits to compare data across different strains and [O</w:t>
      </w:r>
      <w:r>
        <w:rPr>
          <w:vertAlign w:val="subscript"/>
        </w:rPr>
        <w:t xml:space="preserve">2</w:t>
      </w:r>
      <w:r>
        <w:t xml:space="preserve">] in situations in which cultures were excited by, and growing in, corresponding growth wavebands of 450, 470, 530, or 620 nm, for chlorophyll-specific growth rate vs. </w:t>
      </w:r>
      <w:r>
        <w:rPr>
          <w:iCs/>
          <w:i/>
        </w:rPr>
        <w:t xml:space="preserve">JV</w:t>
      </w:r>
      <w:r>
        <w:rPr>
          <w:vertAlign w:val="subscript"/>
        </w:rPr>
        <w:t xml:space="preserve">PSII</w:t>
      </w:r>
      <w:r>
        <w:t xml:space="preserve"> </w:t>
      </w:r>
      <w:r>
        <w:t xml:space="preserve">(Tab. S10). Statistical differences for all analyses were determined at significance level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0">
        <w:r>
          <w:rPr>
            <w:rStyle w:val="Hyperlink"/>
          </w:rPr>
          <w:t xml:space="preserve">https://github.com/FundyPhytoPhys/BalticO2</w:t>
        </w:r>
      </w:hyperlink>
      <w:r>
        <w:t xml:space="preserve">).</w:t>
      </w:r>
    </w:p>
    <w:p>
      <w:pPr>
        <w:pStyle w:val="BodyText"/>
      </w:pPr>
    </w:p>
    <w:bookmarkEnd w:id="31"/>
    <w:bookmarkEnd w:id="32"/>
    <w:bookmarkStart w:id="53" w:name="results-and-discussion"/>
    <w:p>
      <w:pPr>
        <w:pStyle w:val="Heading1"/>
      </w:pPr>
      <w:r>
        <w:t xml:space="preserve">Results and discussion</w:t>
      </w:r>
    </w:p>
    <w:bookmarkStart w:id="37" w:name="Xe2dc86fe4c06e8ca6bdff2bd65da0a315b4dbcd"/>
    <w:p>
      <w:pPr>
        <w:pStyle w:val="Heading2"/>
      </w:pPr>
      <w:r>
        <w:t xml:space="preserve">Chlorophyll-specific growth rates across [O</w:t>
      </w:r>
      <w:r>
        <w:rPr>
          <w:vertAlign w:val="subscript"/>
        </w:rPr>
        <w:t xml:space="preserve">2</w:t>
      </w:r>
      <w:r>
        <w:t xml:space="preserve">], wavebands, and strains</w:t>
      </w:r>
    </w:p>
    <w:p>
      <w:pPr>
        <w:pStyle w:val="FirstParagraph"/>
      </w:pPr>
      <w:r>
        <w:t xml:space="preserve">We used logistic curve fits (Fig. S1) to determine chlorophyll-specific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under spectral wavebands centred at 405, 450, 470, 530, 620, 660, or 730 nm, and [O</w:t>
      </w:r>
      <w:r>
        <w:rPr>
          <w:vertAlign w:val="subscript"/>
        </w:rPr>
        <w:t xml:space="preserve">2</w:t>
      </w:r>
      <w:r>
        <w:t xml:space="preserve">] of 250 µM or 2.5 µM (Fig.</w:t>
      </w:r>
      <w:r>
        <w:t xml:space="preserve"> </w:t>
      </w:r>
      <w:r>
        <w:t xml:space="preserve">1</w:t>
      </w:r>
      <w:r>
        <w:t xml:space="preserve">. Cell-specific growth rates (µ) were also determined using OD</w:t>
      </w:r>
      <w:r>
        <w:rPr>
          <w:vertAlign w:val="subscript"/>
        </w:rPr>
        <w:t xml:space="preserve">720</w:t>
      </w:r>
      <w:r>
        <w:t xml:space="preserve"> </w:t>
      </w:r>
      <w:r>
        <w:t xml:space="preserve">(Fig. S2). Strain, growth waveband, [O</w:t>
      </w:r>
      <w:r>
        <w:rPr>
          <w:vertAlign w:val="subscript"/>
        </w:rPr>
        <w:t xml:space="preserve">2</w:t>
      </w:r>
      <w:r>
        <w:t xml:space="preserve">], and their interactions, significantly affected μ (Table S4).</w:t>
      </w:r>
      <w:r>
        <w:t xml:space="preserve"> </w:t>
      </w:r>
      <w:r>
        <w:t xml:space="preserve">PC-rich and PE-rich</w:t>
      </w:r>
      <w:r>
        <w:t xml:space="preserve"> </w:t>
      </w:r>
      <w:r>
        <w:rPr>
          <w:iCs/>
          <w:i/>
        </w:rPr>
        <w:t xml:space="preserve">Synechococcus</w:t>
      </w:r>
      <w:r>
        <w:t xml:space="preserve"> </w:t>
      </w:r>
      <w:r>
        <w:t xml:space="preserve">sp. grow under 2.5 µM [O</w:t>
      </w:r>
      <w:r>
        <w:rPr>
          <w:vertAlign w:val="subscript"/>
        </w:rPr>
        <w:t xml:space="preserve">2</w:t>
      </w:r>
      <w:r>
        <w:t xml:space="preserve">], across the range of tested spectral wavebands from 405 – 730 nm. In contrast under 250 µM [O</w:t>
      </w:r>
      <w:r>
        <w:rPr>
          <w:vertAlign w:val="subscript"/>
        </w:rPr>
        <w:t xml:space="preserve">2</w:t>
      </w:r>
      <w:r>
        <w:t xml:space="preserve">], the PC-rich strain failed to grow under 405 nm, while the PE-rich strain failed to grow under 405, 450, and 730 nm. Failure of growth under 405 &amp; 450 nm is consistent with accelerated photoinactivation of PSII under blue wavebands, which increases the cost of growth</w:t>
      </w:r>
      <w:r>
        <w:t xml:space="preserve"> </w:t>
      </w:r>
      <w:r>
        <w:t xml:space="preserve">(Murphy et al. 2017)</w:t>
      </w:r>
      <w:r>
        <w:t xml:space="preserve">. The PC-rich strain showed generally similar growth rates under 2.5 and 250 µM [O</w:t>
      </w:r>
      <w:r>
        <w:rPr>
          <w:vertAlign w:val="subscript"/>
        </w:rPr>
        <w:t xml:space="preserve">2</w:t>
      </w:r>
      <w:r>
        <w:t xml:space="preserve">], across tested spectral wavebands (nm). In contrast the PE-rich strain achieved faster growth rates under 2.5 µM [O</w:t>
      </w:r>
      <w:r>
        <w:rPr>
          <w:vertAlign w:val="subscript"/>
        </w:rPr>
        <w:t xml:space="preserve">2</w:t>
      </w:r>
      <w:r>
        <w:t xml:space="preserve">] than under 250 µM [O</w:t>
      </w:r>
      <w:r>
        <w:rPr>
          <w:vertAlign w:val="subscript"/>
        </w:rPr>
        <w:t xml:space="preserve">2</w:t>
      </w:r>
      <w:r>
        <w:t xml:space="preserve">]. PE-rich</w:t>
      </w:r>
      <w:r>
        <w:t xml:space="preserve"> </w:t>
      </w:r>
      <w:r>
        <w:rPr>
          <w:iCs/>
          <w:i/>
        </w:rPr>
        <w:t xml:space="preserve">Synechococcus</w:t>
      </w:r>
      <w:r>
        <w:t xml:space="preserve"> </w:t>
      </w:r>
      <w:r>
        <w:t xml:space="preserve">are typically found at greater depths, and lower light, than are PC-rich strains</w:t>
      </w:r>
      <w:r>
        <w:t xml:space="preserve"> </w:t>
      </w:r>
      <w:r>
        <w:t xml:space="preserve">(Haverkamp et al. 2009; Śliwińska-Wilczewska et al. 2018)</w:t>
      </w:r>
      <w:r>
        <w:t xml:space="preserve">, but we suggest that the PE-rich strains are actually limited to lower light by an interaction between light and full air-saturated [O</w:t>
      </w:r>
      <w:r>
        <w:rPr>
          <w:vertAlign w:val="subscript"/>
        </w:rPr>
        <w:t xml:space="preserve">2</w:t>
      </w:r>
      <w:r>
        <w:t xml:space="preserve">]. In lower oxygen waters PE-rich strains are likely able to exploit higher light niches.</w:t>
      </w:r>
    </w:p>
    <w:p>
      <w:pPr>
        <w:pStyle w:val="BodyText"/>
      </w:pPr>
      <w:r>
        <w:t xml:space="preserve">PC-rich</w:t>
      </w:r>
      <w:r>
        <w:t xml:space="preserve"> </w:t>
      </w:r>
      <w:r>
        <w:rPr>
          <w:iCs/>
          <w:i/>
        </w:rPr>
        <w:t xml:space="preserve">Synechococcus</w:t>
      </w:r>
      <w:r>
        <w:t xml:space="preserve"> </w:t>
      </w:r>
      <w:r>
        <w:t xml:space="preserve">sp. showed a peak in growth rate under red light of 620 or 660 nm, absorbed by phycocyanin and chlorophyll. Under 2.5 µM [O</w:t>
      </w:r>
      <w:r>
        <w:rPr>
          <w:vertAlign w:val="subscript"/>
        </w:rPr>
        <w:t xml:space="preserve">2</w:t>
      </w:r>
      <w:r>
        <w:t xml:space="preserve">] the PE-rich strain showed highest growth rates under 530 nm-660 nm absorbed by phycoerythin, phycocyanin and chlorophyll; while under 250 µM O</w:t>
      </w:r>
      <w:r>
        <w:rPr>
          <w:vertAlign w:val="subscript"/>
        </w:rPr>
        <w:t xml:space="preserve">2</w:t>
      </w:r>
      <w:r>
        <w:t xml:space="preserve">], the PE-rich strain showed the highest growth rate under green light of 530 nm absorbed by phycoerythrin.</w:t>
      </w:r>
    </w:p>
    <w:p>
      <w:pPr>
        <w:pStyle w:val="BodyText"/>
      </w:pPr>
    </w:p>
    <w:p>
      <w:pPr>
        <w:pStyle w:val="CaptionedFigure"/>
      </w:pPr>
      <w:r>
        <w:drawing>
          <wp:inline>
            <wp:extent cx="5504749" cy="5504749"/>
            <wp:effectExtent b="0" l="0" r="0" t="0"/>
            <wp:docPr descr="Fig. 1: Chlorophyll-specific growth rates (µ; d−1) vs. growth waveband (nm, shaded regions). Growth rates (± SE) were estimated from logistic fits of chlorophyll proxy OD680 – OD720 (ΔOD) vs. elapsed time (Fig. S1), for PC-rich (green circle) and PE-rich (red circle) cultures of Synechococcus sp. grown at spectral wavebands of 405, 450, 470, 530, 620, 660, or 730 nm, and [O2] of 250 µM (open symbols and dashed line) or 2.5 µM (closed symbols and solid line)." title="" id="34" name="Picture"/>
            <a:graphic>
              <a:graphicData uri="http://schemas.openxmlformats.org/drawingml/2006/picture">
                <pic:pic>
                  <pic:nvPicPr>
                    <pic:cNvPr descr="../Output/Figures/Fig_GrowthRateDelta.png" id="35" name="Picture"/>
                    <pic:cNvPicPr>
                      <a:picLocks noChangeArrowheads="1" noChangeAspect="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6" w:name="fig:GrowthRate"/>
      <w:bookmarkEnd w:id="36"/>
      <w:r>
        <w:rPr>
          <w:bCs/>
          <w:b/>
        </w:rPr>
        <w:t xml:space="preserve">Fig.</w:t>
      </w:r>
      <w:r>
        <w:rPr>
          <w:bCs/>
          <w:b/>
        </w:rPr>
        <w:t xml:space="preserve"> </w:t>
      </w:r>
      <w:r>
        <w:t xml:space="preserve">1: Chlorophyll-specific growth rates (µ; d</w:t>
      </w:r>
      <w:r>
        <w:rPr>
          <w:vertAlign w:val="superscript"/>
        </w:rPr>
        <w:t xml:space="preserve">−1</w:t>
      </w:r>
      <w:r>
        <w:t xml:space="preserve">) vs. growth waveband (nm, shaded regions).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 for PC-rich (green circle) and PE-rich (red circle) cultures of</w:t>
      </w:r>
      <w:r>
        <w:t xml:space="preserve"> </w:t>
      </w:r>
      <w:r>
        <w:rPr>
          <w:iCs/>
          <w:i/>
        </w:rPr>
        <w:t xml:space="preserve">Synechococcus</w:t>
      </w:r>
      <w:r>
        <w:t xml:space="preserve"> </w:t>
      </w:r>
      <w:r>
        <w:t xml:space="preserve">sp. grown at spectral wavebands of 405, 450, 470, 530, 620, 660, or 730 nm, and [O</w:t>
      </w:r>
      <w:r>
        <w:rPr>
          <w:vertAlign w:val="subscript"/>
        </w:rPr>
        <w:t xml:space="preserve">2</w:t>
      </w:r>
      <w:r>
        <w:t xml:space="preserve">] of 250 µM (open symbols and dashed line) or 2.5 µM (closed symbols and solid line).</w:t>
      </w:r>
    </w:p>
    <w:p>
      <w:pPr>
        <w:pStyle w:val="BodyText"/>
      </w:pPr>
    </w:p>
    <w:bookmarkEnd w:id="37"/>
    <w:bookmarkStart w:id="42" w:name="Xd193ef2227b04d5731925d0c0ec471992174573"/>
    <w:p>
      <w:pPr>
        <w:pStyle w:val="Heading2"/>
      </w:pPr>
      <w:r>
        <w:t xml:space="preserve">Pigment content and pigment ratio across [O</w:t>
      </w:r>
      <w:r>
        <w:rPr>
          <w:vertAlign w:val="subscript"/>
        </w:rPr>
        <w:t xml:space="preserve">2</w:t>
      </w:r>
      <w:r>
        <w:t xml:space="preserve">], wavebands, and strains</w:t>
      </w:r>
    </w:p>
    <w:p>
      <w:pPr>
        <w:pStyle w:val="FirstParagraph"/>
      </w:pPr>
      <w:r>
        <w:t xml:space="preserve">Fig.</w:t>
      </w:r>
      <w:r>
        <w:t xml:space="preserve"> </w:t>
      </w:r>
      <w:r>
        <w:t xml:space="preserve">2</w:t>
      </w:r>
      <w:r>
        <w:rPr>
          <w:iCs/>
          <w:i/>
        </w:rPr>
        <w:t xml:space="preserve">a</w:t>
      </w:r>
      <w:r>
        <w:t xml:space="preserve"> </w:t>
      </w:r>
      <w:r>
        <w:t xml:space="preserve">presents Chlorophyll</w:t>
      </w:r>
      <w:r>
        <w:t xml:space="preserve"> </w:t>
      </w:r>
      <w:r>
        <w:rPr>
          <w:iCs/>
          <w:i/>
        </w:rPr>
        <w:t xml:space="preserve">a</w:t>
      </w:r>
      <w:r>
        <w:t xml:space="preserve"> </w:t>
      </w:r>
      <w:r>
        <w:t xml:space="preserve">(Chl</w:t>
      </w:r>
      <w:r>
        <w:t xml:space="preserve"> </w:t>
      </w:r>
      <w:r>
        <w:rPr>
          <w:iCs/>
          <w:i/>
        </w:rPr>
        <w:t xml:space="preserve">a</w:t>
      </w:r>
      <w:r>
        <w:t xml:space="preserve">), Phycobiliproteins (Phyco), or Carotenoids (Car) content (pg cell</w:t>
      </w:r>
      <w:r>
        <w:t xml:space="preserve"> </w:t>
      </w:r>
      <w:r>
        <w:rPr>
          <w:vertAlign w:val="superscript"/>
        </w:rPr>
        <w:t xml:space="preserve">−1</w:t>
      </w:r>
      <w:r>
        <w:t xml:space="preserve">) vs. growth waveband (nm) for PC-rich and PE-rich cultures of</w:t>
      </w:r>
      <w:r>
        <w:t xml:space="preserve"> </w:t>
      </w:r>
      <w:r>
        <w:rPr>
          <w:iCs/>
          <w:i/>
        </w:rPr>
        <w:t xml:space="preserve">Synechococcus</w:t>
      </w:r>
      <w:r>
        <w:t xml:space="preserve"> </w:t>
      </w:r>
      <w:r>
        <w:t xml:space="preserve">sp. grown at spectral wavebands centred at 405, 450, 470, 530, 620, 660, or 730 nm and 250 or 2.5 µM [O</w:t>
      </w:r>
      <w:r>
        <w:rPr>
          <w:vertAlign w:val="subscript"/>
        </w:rPr>
        <w:t xml:space="preserve">2</w:t>
      </w:r>
      <w:r>
        <w:t xml:space="preserve">]. Here, we omit data from those PE-rich cultures which showed negligible growth under 405, 450, 730 nm and 250 µM O</w:t>
      </w:r>
      <w:r>
        <w:rPr>
          <w:vertAlign w:val="subscript"/>
        </w:rPr>
        <w:t xml:space="preserve">2</w:t>
      </w:r>
      <w:r>
        <w:t xml:space="preserve">; and from those PC-rich cultures which showed negligible growth under 405 nm and 250 µM O</w:t>
      </w:r>
      <w:r>
        <w:rPr>
          <w:vertAlign w:val="subscript"/>
        </w:rPr>
        <w:t xml:space="preserve">2</w:t>
      </w:r>
      <w:r>
        <w:t xml:space="preserve">.</w:t>
      </w:r>
    </w:p>
    <w:p>
      <w:pPr>
        <w:pStyle w:val="BodyText"/>
      </w:pPr>
      <w:r>
        <w:t xml:space="preserve">Strain, growth waveband, [O</w:t>
      </w:r>
      <w:r>
        <w:rPr>
          <w:vertAlign w:val="subscript"/>
        </w:rPr>
        <w:t xml:space="preserve">2</w:t>
      </w:r>
      <w:r>
        <w:t xml:space="preserve">], and their interactions, significantly affected cell-specific Chl</w:t>
      </w:r>
      <w:r>
        <w:t xml:space="preserve"> </w:t>
      </w:r>
      <w:r>
        <w:rPr>
          <w:iCs/>
          <w:i/>
        </w:rPr>
        <w:t xml:space="preserve">a</w:t>
      </w:r>
      <w:r>
        <w:t xml:space="preserve">, Phycobiliproteins, and Car content (Table S5). For the PC-rich strain, the highest Chl</w:t>
      </w:r>
      <w:r>
        <w:t xml:space="preserve"> </w:t>
      </w:r>
      <w:r>
        <w:rPr>
          <w:iCs/>
          <w:i/>
        </w:rPr>
        <w:t xml:space="preserve">a</w:t>
      </w:r>
      <w:r>
        <w:t xml:space="preserve">, Phycobiliproteins, and Car contents were recorded after growth under 730 nm. Moreover, the phycobiliproteins content was higher under 250 µM [O</w:t>
      </w:r>
      <w:r>
        <w:rPr>
          <w:vertAlign w:val="subscript"/>
        </w:rPr>
        <w:t xml:space="preserve">2</w:t>
      </w:r>
      <w:r>
        <w:t xml:space="preserve">] than under 2.5 µM [O</w:t>
      </w:r>
      <w:r>
        <w:rPr>
          <w:vertAlign w:val="subscript"/>
        </w:rPr>
        <w:t xml:space="preserve">2</w:t>
      </w:r>
      <w:r>
        <w:t xml:space="preserve">] for the PC-rich strain. In contrast for PE-rich</w:t>
      </w:r>
      <w:r>
        <w:t xml:space="preserve"> </w:t>
      </w:r>
      <w:r>
        <w:rPr>
          <w:iCs/>
          <w:i/>
        </w:rPr>
        <w:t xml:space="preserve">Synechococcus</w:t>
      </w:r>
      <w:r>
        <w:t xml:space="preserve"> </w:t>
      </w:r>
      <w:r>
        <w:t xml:space="preserve">sp. phycobiliproteins content was significantly lower under 250 µM [O</w:t>
      </w:r>
      <w:r>
        <w:rPr>
          <w:vertAlign w:val="subscript"/>
        </w:rPr>
        <w:t xml:space="preserve">2</w:t>
      </w:r>
      <w:r>
        <w:t xml:space="preserve">] than under 2.5 µM [O</w:t>
      </w:r>
      <w:r>
        <w:rPr>
          <w:vertAlign w:val="subscript"/>
        </w:rPr>
        <w:t xml:space="preserve">2</w:t>
      </w:r>
      <w:r>
        <w:t xml:space="preserve">], with the highest phycobiliproteins content under 620 nm and 2.5 µM [O</w:t>
      </w:r>
      <w:r>
        <w:rPr>
          <w:vertAlign w:val="subscript"/>
        </w:rPr>
        <w:t xml:space="preserve">2</w:t>
      </w:r>
      <w:r>
        <w:t xml:space="preserve">].</w:t>
      </w:r>
    </w:p>
    <w:p>
      <w:pPr>
        <w:pStyle w:val="BodyText"/>
      </w:pPr>
      <w:r>
        <w:t xml:space="preserve">Chlorophyll-specific growth rates (µ; d</w:t>
      </w:r>
      <w:r>
        <w:rPr>
          <w:vertAlign w:val="superscript"/>
        </w:rPr>
        <w:t xml:space="preserve">−1</w:t>
      </w:r>
      <w:r>
        <w:t xml:space="preserve">) show positive linear responses to Phycobiliproteins:Chlorophyll</w:t>
      </w:r>
      <w:r>
        <w:t xml:space="preserve"> </w:t>
      </w:r>
      <w:r>
        <w:rPr>
          <w:iCs/>
          <w:i/>
        </w:rPr>
        <w:t xml:space="preserve">a</w:t>
      </w:r>
      <w:r>
        <w:t xml:space="preserve"> </w:t>
      </w:r>
      <w:r>
        <w:t xml:space="preserve">ratio (µg:µg), for both PC-rich and PE-rich</w:t>
      </w:r>
      <w:r>
        <w:t xml:space="preserve"> </w:t>
      </w:r>
      <w:r>
        <w:rPr>
          <w:iCs/>
          <w:i/>
        </w:rPr>
        <w:t xml:space="preserve">Synechococcus</w:t>
      </w:r>
      <w:r>
        <w:t xml:space="preserve"> </w:t>
      </w:r>
      <w:r>
        <w:t xml:space="preserve">sp. (Fig.</w:t>
      </w:r>
      <w:r>
        <w:t xml:space="preserve"> </w:t>
      </w:r>
      <w:r>
        <w:t xml:space="preserve">2</w:t>
      </w:r>
      <w:r>
        <w:rPr>
          <w:iCs/>
          <w:i/>
        </w:rPr>
        <w:t xml:space="preserve">b</w:t>
      </w:r>
      <w:r>
        <w:t xml:space="preserve">), although the relations vary across strain and [O</w:t>
      </w:r>
      <w:r>
        <w:rPr>
          <w:vertAlign w:val="subscript"/>
        </w:rPr>
        <w:t xml:space="preserve">2</w:t>
      </w:r>
      <w:r>
        <w:t xml:space="preserve">] (Tab. S9).</w:t>
      </w:r>
    </w:p>
    <w:p>
      <w:pPr>
        <w:pStyle w:val="BodyText"/>
      </w:pPr>
    </w:p>
    <w:p>
      <w:pPr>
        <w:pStyle w:val="CaptionedFigure"/>
      </w:pPr>
      <w:r>
        <w:drawing>
          <wp:inline>
            <wp:extent cx="5504749" cy="7339665"/>
            <wp:effectExtent b="0" l="0" r="0" t="0"/>
            <wp:docPr descr="Fig. 2: Pigment content (pg cell −1) vs. growth waveband (nm) (a) and Chlorophyll-specific growth rates (µ; d−1) vs. Phycobiliproteins:Chlorophyll a ratio (µg:µg) (b) for PC-rich (green circle) and PE-rich (red circle) cultures of Synechococcus sp. grown at spectral wavebands of 405, 450, 470, 530, 620, 660, or 730 nm and 250 µM [O2] (open symbols and dashed line) or 2.5 µM [O2] (closed symbols and solid line). Data not presented for those PE-rich cultures which showed negligible growth under 405, 450, 730 nm and 250 µM [O2]; nor for those PC-rich cultures which showed negligible growth under 405 nm and 250 µM [O2]. Blue lines shows linear model fit for data from each strain and [O2] (solid for 2.5 µM [O2] or dashed for 250 µM [O2])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39" name="Picture"/>
            <a:graphic>
              <a:graphicData uri="http://schemas.openxmlformats.org/drawingml/2006/picture">
                <pic:pic>
                  <pic:nvPicPr>
                    <pic:cNvPr descr="../Output/Figures/Fig_GrowthPig.png" id="4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1" w:name="fig:Pigment"/>
      <w:bookmarkEnd w:id="41"/>
      <w:r>
        <w:rPr>
          <w:bCs/>
          <w:b/>
        </w:rPr>
        <w:t xml:space="preserve">Fig.</w:t>
      </w:r>
      <w:r>
        <w:rPr>
          <w:bCs/>
          <w:b/>
        </w:rPr>
        <w:t xml:space="preserve"> </w:t>
      </w:r>
      <w:r>
        <w:t xml:space="preserve">2: Pigment content (pg cell</w:t>
      </w:r>
      <w:r>
        <w:t xml:space="preserve"> </w:t>
      </w:r>
      <w:r>
        <w:rPr>
          <w:vertAlign w:val="superscript"/>
        </w:rPr>
        <w:t xml:space="preserve">−1</w:t>
      </w:r>
      <w:r>
        <w:t xml:space="preserve">) vs. growth waveband (nm) (</w:t>
      </w:r>
      <w:r>
        <w:rPr>
          <w:iCs/>
          <w:i/>
        </w:rPr>
        <w:t xml:space="preserve">a</w:t>
      </w:r>
      <w:r>
        <w:t xml:space="preserve">) and Chlorophyll-specific growth rates (µ; d</w:t>
      </w:r>
      <w:r>
        <w:rPr>
          <w:vertAlign w:val="superscript"/>
        </w:rPr>
        <w:t xml:space="preserve">−1</w:t>
      </w:r>
      <w:r>
        <w:t xml:space="preserve">) vs. Phycobiliproteins:Chlorophyll</w:t>
      </w:r>
      <w:r>
        <w:t xml:space="preserve"> </w:t>
      </w:r>
      <w:r>
        <w:rPr>
          <w:iCs/>
          <w:i/>
        </w:rPr>
        <w:t xml:space="preserve">a</w:t>
      </w:r>
      <w:r>
        <w:t xml:space="preserve"> </w:t>
      </w:r>
      <w:r>
        <w:t xml:space="preserve">ratio (µg:µg) (</w:t>
      </w:r>
      <w:r>
        <w:rPr>
          <w:iCs/>
          <w:i/>
        </w:rPr>
        <w:t xml:space="preserve">b</w:t>
      </w:r>
      <w:r>
        <w:t xml:space="preserve">) for PC-rich (green circle) and PE-rich (red circle) cultures of</w:t>
      </w:r>
      <w:r>
        <w:t xml:space="preserve"> </w:t>
      </w:r>
      <w:r>
        <w:rPr>
          <w:iCs/>
          <w:i/>
        </w:rPr>
        <w:t xml:space="preserve">Synechococcus</w:t>
      </w:r>
      <w:r>
        <w:t xml:space="preserve"> </w:t>
      </w:r>
      <w:r>
        <w:t xml:space="preserve">sp. grown at spectral wavebands of 405, 450, 470, 530, 620, 660, or 730 nm and 250 µM [O</w:t>
      </w:r>
      <w:r>
        <w:rPr>
          <w:vertAlign w:val="subscript"/>
        </w:rPr>
        <w:t xml:space="preserve">2</w:t>
      </w:r>
      <w:r>
        <w:t xml:space="preserve">] (open symbols and dashed line) or 2.5 µM [O</w:t>
      </w:r>
      <w:r>
        <w:rPr>
          <w:vertAlign w:val="subscript"/>
        </w:rPr>
        <w:t xml:space="preserve">2</w:t>
      </w:r>
      <w:r>
        <w:t xml:space="preserve">] (closed symbols and solid line).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 Blue lines shows linear model fit for data from each strain and [O</w:t>
      </w:r>
      <w:r>
        <w:rPr>
          <w:vertAlign w:val="subscript"/>
        </w:rPr>
        <w:t xml:space="preserve">2</w:t>
      </w:r>
      <w:r>
        <w:t xml:space="preserve">] (solid for 2.5 µM [O</w:t>
      </w:r>
      <w:r>
        <w:rPr>
          <w:vertAlign w:val="subscript"/>
        </w:rPr>
        <w:t xml:space="preserve">2</w:t>
      </w:r>
      <w:r>
        <w:t xml:space="preserve">] or dashed for 250 µM [O</w:t>
      </w:r>
      <w:r>
        <w:rPr>
          <w:vertAlign w:val="subscript"/>
        </w:rPr>
        <w:t xml:space="preserve">2</w:t>
      </w:r>
      <w:r>
        <w:t xml:space="preserve">])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bookmarkEnd w:id="42"/>
    <w:bookmarkStart w:id="47" w:name="X260f5aad1f38a766e6693dfed782515b8c4bd03"/>
    <w:p>
      <w:pPr>
        <w:pStyle w:val="Heading2"/>
      </w:pPr>
      <w:r>
        <w:t xml:space="preserve">Effective absorption cross sections, turnover times, and photochemical quenching of PSII across [O</w:t>
      </w:r>
      <w:r>
        <w:rPr>
          <w:vertAlign w:val="subscript"/>
        </w:rPr>
        <w:t xml:space="preserve">2</w:t>
      </w:r>
      <w:r>
        <w:t xml:space="preserve">], wavebands, and strains</w:t>
      </w:r>
    </w:p>
    <w:p>
      <w:pPr>
        <w:pStyle w:val="FirstParagraph"/>
      </w:pPr>
      <w:r>
        <w:t xml:space="preserve">Light response curves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turnover time of PSII photochemistry (τ</w:t>
      </w:r>
      <w:r>
        <w:rPr>
          <w:vertAlign w:val="subscript"/>
        </w:rPr>
        <w:t xml:space="preserve">PSII</w:t>
      </w:r>
      <w:r>
        <w:t xml:space="preserve">; µs); and photochemical quenching coefficient (q</w:t>
      </w:r>
      <w:r>
        <w:rPr>
          <w:vertAlign w:val="subscript"/>
        </w:rPr>
        <w:t xml:space="preserve">P</w:t>
      </w:r>
      <w:r>
        <w:t xml:space="preserve">) vs. Actinic PAR (µmol photons m</w:t>
      </w:r>
      <w:r>
        <w:rPr>
          <w:vertAlign w:val="superscript"/>
        </w:rPr>
        <w:t xml:space="preserve">−2</w:t>
      </w:r>
      <w:r>
        <w:t xml:space="preserve">s</w:t>
      </w:r>
      <w:r>
        <w:rPr>
          <w:vertAlign w:val="superscript"/>
        </w:rPr>
        <w:t xml:space="preserve">−1</w:t>
      </w:r>
      <w:r>
        <w:t xml:space="preserve">) (Fig.</w:t>
      </w:r>
      <w:r>
        <w:t xml:space="preserve"> </w:t>
      </w:r>
      <w:r>
        <w:t xml:space="preserve">3</w:t>
      </w:r>
      <w:r>
        <w:rPr>
          <w:iCs/>
          <w:i/>
        </w:rPr>
        <w:t xml:space="preserve">a-c</w:t>
      </w:r>
      <w:r>
        <w:t xml:space="preserve">) are shown for PC-rich and PE-rich cultures grown in, and excited by, corresponding wavebands of 450, 470, 530, or 620 nm, at 250 µM or 2.5 µM [O</w:t>
      </w:r>
      <w:r>
        <w:rPr>
          <w:vertAlign w:val="subscript"/>
        </w:rPr>
        <w:t xml:space="preserve">2</w:t>
      </w:r>
      <w:r>
        <w:t xml:space="preserve">]. We omit functional data for those PE-rich cultures which showed negligible growth under 405, 450, 730 nm and 250 µM O</w:t>
      </w:r>
      <w:r>
        <w:rPr>
          <w:vertAlign w:val="subscript"/>
        </w:rPr>
        <w:t xml:space="preserve">2</w:t>
      </w:r>
      <w:r>
        <w:t xml:space="preserve">; and for those PC-rich cultures which showed negligible growth under 405 nm and 250 µM O</w:t>
      </w:r>
      <w:r>
        <w:rPr>
          <w:vertAlign w:val="subscript"/>
        </w:rPr>
        <w:t xml:space="preserve">2</w:t>
      </w:r>
      <w:r>
        <w:t xml:space="preserve">. In the Supplementary materials (Fig S4-S6), we also show the light response curves for all available excitation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and growth waveband (450, 470, 530, or 620 nm) cross-combinations.</w:t>
      </w:r>
    </w:p>
    <w:p>
      <w:pPr>
        <w:pStyle w:val="BodyText"/>
      </w:pPr>
      <w:r>
        <w:t xml:space="preserve">σ</w:t>
      </w:r>
      <w:r>
        <w:rPr>
          <w:vertAlign w:val="subscript"/>
        </w:rPr>
        <w:t xml:space="preserve">PSII</w:t>
      </w:r>
      <w:r>
        <w:t xml:space="preserve"> </w:t>
      </w:r>
      <w:r>
        <w:t xml:space="preserve">(Fig.</w:t>
      </w:r>
      <w:r>
        <w:t xml:space="preserve"> </w:t>
      </w:r>
      <w:r>
        <w:t xml:space="preserve">3</w:t>
      </w:r>
      <w:r>
        <w:rPr>
          <w:iCs/>
          <w:i/>
        </w:rPr>
        <w:t xml:space="preserve">a</w:t>
      </w:r>
      <w:r>
        <w:t xml:space="preserve">), as expected, was low and shows little change with increasing actinic light during excitation through chlorophyll at Ex</w:t>
      </w:r>
      <w:r>
        <w:rPr>
          <w:vertAlign w:val="subscript"/>
        </w:rPr>
        <w:t xml:space="preserve">445nm</w:t>
      </w:r>
      <w:r>
        <w:t xml:space="preserve">. In cyanobacteria the number of chlorophyll per PSII is low, and nearly fixed, so the effective absorption cross section for chlorophyll is also low</w:t>
      </w:r>
      <w:r>
        <w:t xml:space="preserve"> </w:t>
      </w:r>
      <w:r>
        <w:t xml:space="preserve">(Xu et al. 2018)</w:t>
      </w:r>
      <w:r>
        <w:t xml:space="preserve">. For the PC-rich strain, under orange excitation at Ex</w:t>
      </w:r>
      <w:r>
        <w:rPr>
          <w:vertAlign w:val="subscript"/>
        </w:rPr>
        <w:t xml:space="preserve">590nm</w:t>
      </w:r>
      <w:r>
        <w:t xml:space="preserve">, σ</w:t>
      </w:r>
      <w:r>
        <w:rPr>
          <w:vertAlign w:val="subscript"/>
        </w:rPr>
        <w:t xml:space="preserve">PSII</w:t>
      </w:r>
      <w:r>
        <w:t xml:space="preserve"> </w:t>
      </w:r>
      <w:r>
        <w:t xml:space="preserve">showed an initial small increase from darkness to the growth light level, followed by a mild decrease with increasing Actinic PAR, and was higher at 250 µM [O</w:t>
      </w:r>
      <w:r>
        <w:rPr>
          <w:vertAlign w:val="subscript"/>
        </w:rPr>
        <w:t xml:space="preserve">2</w:t>
      </w:r>
      <w:r>
        <w:t xml:space="preserve">] compared to 2.5 µM O</w:t>
      </w:r>
      <w:r>
        <w:rPr>
          <w:vertAlign w:val="subscript"/>
        </w:rPr>
        <w:t xml:space="preserve">2</w:t>
      </w:r>
      <w:r>
        <w:t xml:space="preserve">. For the PE-rich strain, we again see a small increase from darkness to the growth light level, followed by a decrease in σ</w:t>
      </w:r>
      <w:r>
        <w:rPr>
          <w:vertAlign w:val="subscript"/>
        </w:rPr>
        <w:t xml:space="preserve">PSII</w:t>
      </w:r>
      <w:r>
        <w:t xml:space="preserve"> </w:t>
      </w:r>
      <w:r>
        <w:t xml:space="preserve">with increasing Actinic PAR. Moreover, for the PE-rich strain σ</w:t>
      </w:r>
      <w:r>
        <w:rPr>
          <w:vertAlign w:val="subscript"/>
        </w:rPr>
        <w:t xml:space="preserve">PSII</w:t>
      </w:r>
      <w:r>
        <w:t xml:space="preserve"> </w:t>
      </w:r>
      <w:r>
        <w:t xml:space="preserve">was higher in low [O</w:t>
      </w:r>
      <w:r>
        <w:rPr>
          <w:vertAlign w:val="subscript"/>
        </w:rPr>
        <w:t xml:space="preserve">2</w:t>
      </w:r>
      <w:r>
        <w:t xml:space="preserve">] conditions than in high [O</w:t>
      </w:r>
      <w:r>
        <w:rPr>
          <w:vertAlign w:val="subscript"/>
        </w:rPr>
        <w:t xml:space="preserve">2</w:t>
      </w:r>
      <w:r>
        <w:t xml:space="preserve">] conditions. Strain, Actinic PAR, and [O</w:t>
      </w:r>
      <w:r>
        <w:rPr>
          <w:vertAlign w:val="subscript"/>
        </w:rPr>
        <w:t xml:space="preserve">2</w:t>
      </w:r>
      <w:r>
        <w:t xml:space="preserve">] significantly influenced σ</w:t>
      </w:r>
      <w:r>
        <w:rPr>
          <w:vertAlign w:val="subscript"/>
        </w:rPr>
        <w:t xml:space="preserve">PSII</w:t>
      </w:r>
      <w:r>
        <w:t xml:space="preserve"> </w:t>
      </w:r>
      <w:r>
        <w:t xml:space="preserve">under excitation at Ex</w:t>
      </w:r>
      <w:r>
        <w:rPr>
          <w:vertAlign w:val="subscript"/>
        </w:rPr>
        <w:t xml:space="preserve">590nm</w:t>
      </w:r>
      <w:r>
        <w:t xml:space="preserve"> </w:t>
      </w:r>
      <w:r>
        <w:t xml:space="preserve">(Table S6).</w:t>
      </w:r>
    </w:p>
    <w:p>
      <w:pPr>
        <w:pStyle w:val="BodyText"/>
      </w:pPr>
      <w:r>
        <w:t xml:space="preserve">For the PC-rich strain, across the excitation wavebands tested, τ</w:t>
      </w:r>
      <w:r>
        <w:rPr>
          <w:vertAlign w:val="subscript"/>
        </w:rPr>
        <w:t xml:space="preserve">PSII</w:t>
      </w:r>
      <w:r>
        <w:t xml:space="preserve"> </w:t>
      </w:r>
      <w:r>
        <w:t xml:space="preserve">showed an acceleration (decrease) from darkness to growth light Actinic PAR (Fig.</w:t>
      </w:r>
      <w:r>
        <w:t xml:space="preserve"> </w:t>
      </w:r>
      <w:r>
        <w:t xml:space="preserve">3</w:t>
      </w:r>
      <w:r>
        <w:rPr>
          <w:iCs/>
          <w:i/>
        </w:rPr>
        <w:t xml:space="preserve">b</w:t>
      </w:r>
      <w:r>
        <w:t xml:space="preserve">), to a plateau of ~ 800 µs. PE-rich strains, on the other hand, showed a progressive acceleration (decrease) with increasing Actinic PAR under excitation at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declining towards ~ 400 µs under Ex</w:t>
      </w:r>
      <w:r>
        <w:rPr>
          <w:vertAlign w:val="subscript"/>
        </w:rPr>
        <w:t xml:space="preserve">590nm</w:t>
      </w:r>
      <w:r>
        <w:t xml:space="preserve">. Thus the PE-rich strain showed more capacity to remove electrons from PSII&gt; τ</w:t>
      </w:r>
      <w:r>
        <w:rPr>
          <w:vertAlign w:val="subscript"/>
        </w:rPr>
        <w:t xml:space="preserve">PSII</w:t>
      </w:r>
      <w:r>
        <w:t xml:space="preserve">, was generally faster (smaller) for both PC-rich and PE-rich strains under 250 µM [O</w:t>
      </w:r>
      <w:r>
        <w:rPr>
          <w:vertAlign w:val="subscript"/>
        </w:rPr>
        <w:t xml:space="preserve">2</w:t>
      </w:r>
      <w:r>
        <w:t xml:space="preserve">], consistent with the cyanobacterial capacity for electron transport away from PSII to [O</w:t>
      </w:r>
      <w:r>
        <w:rPr>
          <w:vertAlign w:val="subscript"/>
        </w:rPr>
        <w:t xml:space="preserve">2</w:t>
      </w:r>
      <w:r>
        <w:t xml:space="preserve">]</w:t>
      </w:r>
      <w:r>
        <w:t xml:space="preserve"> </w:t>
      </w:r>
      <w:r>
        <w:t xml:space="preserve">(Campbell et al. 1999; Hughes et al. 2018)</w:t>
      </w:r>
      <w:r>
        <w:t xml:space="preserve">, particularly under excess actinic light. Strain, Actinic PAR, and [O</w:t>
      </w:r>
      <w:r>
        <w:rPr>
          <w:vertAlign w:val="subscript"/>
        </w:rPr>
        <w:t xml:space="preserve">2</w:t>
      </w:r>
      <w:r>
        <w:t xml:space="preserve">] significantly affected τ</w:t>
      </w:r>
      <w:r>
        <w:rPr>
          <w:vertAlign w:val="subscript"/>
        </w:rPr>
        <w:t xml:space="preserve">PSII</w:t>
      </w:r>
      <w:r>
        <w:t xml:space="preserve"> </w:t>
      </w:r>
      <w:r>
        <w:t xml:space="preserve">at Ex</w:t>
      </w:r>
      <w:r>
        <w:rPr>
          <w:vertAlign w:val="subscript"/>
        </w:rPr>
        <w:t xml:space="preserve">470nm</w:t>
      </w:r>
      <w:r>
        <w:t xml:space="preserve">, Ex</w:t>
      </w:r>
      <w:r>
        <w:rPr>
          <w:vertAlign w:val="subscript"/>
        </w:rPr>
        <w:t xml:space="preserve">535nm</w:t>
      </w:r>
      <w:r>
        <w:t xml:space="preserve"> </w:t>
      </w:r>
      <w:r>
        <w:t xml:space="preserve">and Ex</w:t>
      </w:r>
      <w:r>
        <w:rPr>
          <w:vertAlign w:val="subscript"/>
        </w:rPr>
        <w:t xml:space="preserve">590nm</w:t>
      </w:r>
      <w:r>
        <w:t xml:space="preserve"> </w:t>
      </w:r>
      <w:r>
        <w:t xml:space="preserve">(Table S7).</w:t>
      </w:r>
    </w:p>
    <w:p>
      <w:pPr>
        <w:pStyle w:val="BodyText"/>
      </w:pPr>
      <w:r>
        <w:t xml:space="preserve">q</w:t>
      </w:r>
      <w:r>
        <w:rPr>
          <w:vertAlign w:val="subscript"/>
        </w:rPr>
        <w:t xml:space="preserve">P</w:t>
      </w:r>
      <w:r>
        <w:t xml:space="preserve">, across the excitation wavebands tested, showed a strong decrease with increasing Actinic PAR (Fig.</w:t>
      </w:r>
      <w:r>
        <w:t xml:space="preserve"> </w:t>
      </w:r>
      <w:r>
        <w:t xml:space="preserve">3</w:t>
      </w:r>
      <w:r>
        <w:rPr>
          <w:iCs/>
          <w:i/>
        </w:rPr>
        <w:t xml:space="preserve">c</w:t>
      </w:r>
      <w:r>
        <w:t xml:space="preserve">). As expected</w:t>
      </w:r>
      <w:r>
        <w:t xml:space="preserve"> </w:t>
      </w:r>
      <w:r>
        <w:t xml:space="preserve">(Campbell et al. 1999; Hughes et al. 2018)</w:t>
      </w:r>
      <w:r>
        <w:t xml:space="preserve"> </w:t>
      </w:r>
      <w:r>
        <w:t xml:space="preserve">q</w:t>
      </w:r>
      <w:r>
        <w:rPr>
          <w:vertAlign w:val="subscript"/>
        </w:rPr>
        <w:t xml:space="preserve">P</w:t>
      </w:r>
      <w:r>
        <w:t xml:space="preserve"> </w:t>
      </w:r>
      <w:r>
        <w:t xml:space="preserve">was generally higher for both PC-rich and PE-rich strains under 250 µM [O</w:t>
      </w:r>
      <w:r>
        <w:rPr>
          <w:vertAlign w:val="subscript"/>
        </w:rPr>
        <w:t xml:space="preserve">2</w:t>
      </w:r>
      <w:r>
        <w:t xml:space="preserve">], since cyanobacteria show strong capacity for electron flow away from PSII to O</w:t>
      </w:r>
      <w:r>
        <w:rPr>
          <w:vertAlign w:val="subscript"/>
        </w:rPr>
        <w:t xml:space="preserve">2</w:t>
      </w:r>
      <w:r>
        <w:t xml:space="preserve">, particularly under excess excitation. Strain, Actinic PAR, and [O</w:t>
      </w:r>
      <w:r>
        <w:rPr>
          <w:vertAlign w:val="subscript"/>
        </w:rPr>
        <w:t xml:space="preserve">2</w:t>
      </w:r>
      <w:r>
        <w:t xml:space="preserve">] significantly affected q</w:t>
      </w:r>
      <w:r>
        <w:rPr>
          <w:vertAlign w:val="subscript"/>
        </w:rPr>
        <w:t xml:space="preserve">P</w:t>
      </w:r>
      <w:r>
        <w:t xml:space="preserve"> </w:t>
      </w:r>
      <w:r>
        <w:t xml:space="preserve">at Ex</w:t>
      </w:r>
      <w:r>
        <w:rPr>
          <w:vertAlign w:val="subscript"/>
        </w:rPr>
        <w:t xml:space="preserve">470nm</w:t>
      </w:r>
      <w:r>
        <w:t xml:space="preserve">, Ex</w:t>
      </w:r>
      <w:r>
        <w:rPr>
          <w:vertAlign w:val="subscript"/>
        </w:rPr>
        <w:t xml:space="preserve">535nm</w:t>
      </w:r>
      <w:r>
        <w:t xml:space="preserve">, and Ex</w:t>
      </w:r>
      <w:r>
        <w:rPr>
          <w:vertAlign w:val="subscript"/>
        </w:rPr>
        <w:t xml:space="preserve">590nm</w:t>
      </w:r>
      <w:r>
        <w:t xml:space="preserve"> </w:t>
      </w:r>
      <w:r>
        <w:t xml:space="preserve">(Table S8).</w:t>
      </w:r>
    </w:p>
    <w:p>
      <w:pPr>
        <w:pStyle w:val="BodyText"/>
      </w:pPr>
    </w:p>
    <w:p>
      <w:pPr>
        <w:pStyle w:val="CaptionedFigure"/>
      </w:pPr>
      <w:r>
        <w:drawing>
          <wp:inline>
            <wp:extent cx="5504749" cy="7339665"/>
            <wp:effectExtent b="0" l="0" r="0" t="0"/>
            <wp:docPr descr="Fig. 3: Effective absorption cross section of PSII (σPSII; nm2 quanta−1) (a); turnover time of PSII photochemistry (τPSII; µs) (b); or photochemical quenching coefficient (qP) (c) vs. Actinic PAR (µmol photons m−2s−1). Parameters were estimated using FRRf induction curves with excitation (columns) at Ex445nm, blue; Ex470nm, blue-green; Ex535nm, green; or Ex590nm, orange; for PC-rich (green circle) or PE-rich (red circle) cultures of Synechococcus sp. Data show situations in which cultures were excited by, and growing in, corresponding growth wavebands of 450, 470, 530, or 620 nm and 250 µM [O2] (open symbols and dashed line) or 2.5 µM [O2] (closed symbols and solid line). The vertical lines show half diel peak PAR growth light of 90 µmol photons m−2s−1. Data not presented for those PE-rich cultures which showed negligible growth under 405, 450, 730 nm and 250 µM O2; nor for those PC-rich cultures which showed negligible growth under 405 nm and 250 µM O2." title="" id="44" name="Picture"/>
            <a:graphic>
              <a:graphicData uri="http://schemas.openxmlformats.org/drawingml/2006/picture">
                <pic:pic>
                  <pic:nvPicPr>
                    <pic:cNvPr descr="../Output/Figures/Fig_SigTauqp.png" id="45" name="Picture"/>
                    <pic:cNvPicPr>
                      <a:picLocks noChangeArrowheads="1" noChangeAspect="1"/>
                    </pic:cNvPicPr>
                  </pic:nvPicPr>
                  <pic:blipFill>
                    <a:blip r:embed="rId4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bookmarkStart w:id="46" w:name="fig:SigLRC"/>
      <w:bookmarkEnd w:id="46"/>
      <w:r>
        <w:rPr>
          <w:bCs/>
          <w:b/>
        </w:rPr>
        <w:t xml:space="preserve">Fig.</w:t>
      </w:r>
      <w:r>
        <w:rPr>
          <w:bCs/>
          <w:b/>
        </w:rPr>
        <w:t xml:space="preserve"> </w:t>
      </w:r>
      <w:r>
        <w:t xml:space="preserve">3: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t>
      </w:r>
      <w:r>
        <w:rPr>
          <w:iCs/>
          <w:i/>
        </w:rPr>
        <w:t xml:space="preserve">a</w:t>
      </w:r>
      <w:r>
        <w:t xml:space="preserve">); turnover time of PSII photochemistry (τ</w:t>
      </w:r>
      <w:r>
        <w:rPr>
          <w:vertAlign w:val="subscript"/>
        </w:rPr>
        <w:t xml:space="preserve">PSII</w:t>
      </w:r>
      <w:r>
        <w:t xml:space="preserve">; µs) (</w:t>
      </w:r>
      <w:r>
        <w:rPr>
          <w:iCs/>
          <w:i/>
        </w:rPr>
        <w:t xml:space="preserve">b</w:t>
      </w:r>
      <w:r>
        <w:t xml:space="preserve">); or photochemical quenching coefficient (q</w:t>
      </w:r>
      <w:r>
        <w:rPr>
          <w:vertAlign w:val="subscript"/>
        </w:rPr>
        <w:t xml:space="preserve">P</w:t>
      </w:r>
      <w:r>
        <w:t xml:space="preserve">) (</w:t>
      </w:r>
      <w:r>
        <w:rPr>
          <w:iCs/>
          <w:i/>
        </w:rPr>
        <w:t xml:space="preserve">c</w:t>
      </w:r>
      <w:r>
        <w:t xml:space="preserve">) vs. Actinic PAR (µmol photons m</w:t>
      </w:r>
      <w:r>
        <w:rPr>
          <w:vertAlign w:val="superscript"/>
        </w:rPr>
        <w:t xml:space="preserve">−2</w:t>
      </w:r>
      <w:r>
        <w:t xml:space="preserve">s</w:t>
      </w:r>
      <w:r>
        <w:rPr>
          <w:vertAlign w:val="superscript"/>
        </w:rPr>
        <w:t xml:space="preserve">−1</w:t>
      </w:r>
      <w:r>
        <w:t xml:space="preserve">). Parameters were estimated using FRRf induction curves with excitation (columns)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The vertical lines show half diel peak PAR growth light of 90 µmol photons m</w:t>
      </w:r>
      <w:r>
        <w:rPr>
          <w:vertAlign w:val="superscript"/>
        </w:rPr>
        <w:t xml:space="preserve">−2</w:t>
      </w:r>
      <w:r>
        <w:t xml:space="preserve">s</w:t>
      </w:r>
      <w:r>
        <w:rPr>
          <w:vertAlign w:val="superscript"/>
        </w:rPr>
        <w:t xml:space="preserve">−1</w:t>
      </w:r>
      <w:r>
        <w:t xml:space="preserve">. Data not presented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p>
    <w:bookmarkEnd w:id="47"/>
    <w:bookmarkStart w:id="52" w:name="X5f4867af5c41f50aa48c36c8624577f217715e9"/>
    <w:p>
      <w:pPr>
        <w:pStyle w:val="Heading2"/>
      </w:pPr>
      <w:r>
        <w:t xml:space="preserve">Growth rates vs. cumulative diel PSII electron flux across [O</w:t>
      </w:r>
      <w:r>
        <w:rPr>
          <w:vertAlign w:val="subscript"/>
        </w:rPr>
        <w:t xml:space="preserve">2</w:t>
      </w:r>
      <w:r>
        <w:t xml:space="preserve">], wavebands, and strains</w:t>
      </w:r>
    </w:p>
    <w:p>
      <w:pPr>
        <w:pStyle w:val="FirstParagraph"/>
      </w:pPr>
      <w:r>
        <w:t xml:space="preserve">Fig.</w:t>
      </w:r>
      <w:r>
        <w:t xml:space="preserve"> </w:t>
      </w:r>
      <w:r>
        <w:t xml:space="preserve">4</w:t>
      </w:r>
      <w:r>
        <w:t xml:space="preserve"> </w:t>
      </w:r>
      <w:r>
        <w:t xml:space="preserve">presents linear regressions between chlorophyll-specific growth rates (µ; d</w:t>
      </w:r>
      <w:r>
        <w:rPr>
          <w:vertAlign w:val="superscript"/>
        </w:rPr>
        <w:t xml:space="preserve">−1</w:t>
      </w:r>
      <w:r>
        <w:t xml:space="preserve">) and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Ex</w:t>
      </w:r>
      <w:r>
        <w:rPr>
          <w:vertAlign w:val="subscript"/>
        </w:rPr>
        <w:t xml:space="preserve">470nm</w:t>
      </w:r>
      <w:r>
        <w:t xml:space="preserve">, Ex</w:t>
      </w:r>
      <w:r>
        <w:rPr>
          <w:vertAlign w:val="subscript"/>
        </w:rPr>
        <w:t xml:space="preserve">535nm</w:t>
      </w:r>
      <w:r>
        <w:t xml:space="preserve">, or Ex</w:t>
      </w:r>
      <w:r>
        <w:rPr>
          <w:vertAlign w:val="subscript"/>
        </w:rPr>
        <w:t xml:space="preserve">590nm</w:t>
      </w:r>
      <w:r>
        <w:t xml:space="preserve">, corresponding to growth wavebands of 450, 470, 530, or 620 nm and 250 µM or 2.5 µM [O</w:t>
      </w:r>
      <w:r>
        <w:rPr>
          <w:vertAlign w:val="subscript"/>
        </w:rPr>
        <w:t xml:space="preserve">2</w:t>
      </w:r>
      <w:r>
        <w:t xml:space="preserve">]. We did not present data for those PE-rich cultures which showed negligible growth under 405, 450, 730 nm and 250 µM O</w:t>
      </w:r>
      <w:r>
        <w:rPr>
          <w:vertAlign w:val="subscript"/>
        </w:rPr>
        <w:t xml:space="preserve">2</w:t>
      </w:r>
      <w:r>
        <w:t xml:space="preserve">; nor for those PC-rich cultures which showed negligible growth under 405 nm and 250 µM O</w:t>
      </w:r>
      <w:r>
        <w:rPr>
          <w:vertAlign w:val="subscript"/>
        </w:rPr>
        <w:t xml:space="preserve">2</w:t>
      </w:r>
      <w:r>
        <w:t xml:space="preserve">.</w:t>
      </w:r>
    </w:p>
    <w:p>
      <w:pPr>
        <w:pStyle w:val="BodyText"/>
      </w:pPr>
      <w:r>
        <w:t xml:space="preserve">µ (d</w:t>
      </w:r>
      <w:r>
        <w:rPr>
          <w:vertAlign w:val="superscript"/>
        </w:rPr>
        <w:t xml:space="preserve">−1</w:t>
      </w:r>
      <w:r>
        <w:t xml:space="preserve">), as expected, is positively correlated with</w:t>
      </w:r>
      <w:r>
        <w:t xml:space="preserve"> </w:t>
      </w:r>
      <w:r>
        <w:rPr>
          <w:iCs/>
          <w:i/>
        </w:rPr>
        <w:t xml:space="preserve">JV</w:t>
      </w:r>
      <w:r>
        <w:rPr>
          <w:vertAlign w:val="subscript"/>
        </w:rPr>
        <w:t xml:space="preserve">PSII</w:t>
      </w:r>
      <w:r>
        <w:t xml:space="preserve"> </w:t>
      </w:r>
      <w:r>
        <w:t xml:space="preserve">and all presented slopes were significantly different from 0 (Tab. S10 xxx). We have also shown here that the [O</w:t>
      </w:r>
      <w:r>
        <w:rPr>
          <w:vertAlign w:val="subscript"/>
        </w:rPr>
        <w:t xml:space="preserve">2</w:t>
      </w:r>
      <w:r>
        <w:t xml:space="preserve">] significantly influences the linear regressions between chlorophyll-specific growth rates and PSII electron flux for both PC-rich and PE-rich strains of</w:t>
      </w:r>
      <w:r>
        <w:t xml:space="preserve"> </w:t>
      </w:r>
      <w:r>
        <w:rPr>
          <w:iCs/>
          <w:i/>
        </w:rPr>
        <w:t xml:space="preserve">Synechococcus</w:t>
      </w:r>
      <w:r>
        <w:t xml:space="preserve"> </w:t>
      </w:r>
      <w:r>
        <w:t xml:space="preserve">sp. (</w:t>
      </w:r>
      <w:r>
        <w:rPr>
          <w:iCs/>
          <w:i/>
        </w:rPr>
        <w:t xml:space="preserve">p</w:t>
      </w:r>
      <w:r>
        <w:t xml:space="preserve"> </w:t>
      </w:r>
      <w:r>
        <w:t xml:space="preserve">&lt; 0.05, Tab. S11). On the other hand, we showed that the relations do not vary for different strains within a given [O</w:t>
      </w:r>
      <w:r>
        <w:rPr>
          <w:vertAlign w:val="subscript"/>
        </w:rPr>
        <w:t xml:space="preserve">2</w:t>
      </w:r>
      <w:r>
        <w:t xml:space="preserve">] (</w:t>
      </w:r>
      <w:r>
        <w:rPr>
          <w:iCs/>
          <w:i/>
        </w:rPr>
        <w:t xml:space="preserve">p</w:t>
      </w:r>
      <w:r>
        <w:t xml:space="preserve"> </w:t>
      </w:r>
      <w:r>
        <w:t xml:space="preserve">&gt; 0.05, Tab. S11).</w:t>
      </w:r>
    </w:p>
    <w:p>
      <w:pPr>
        <w:pStyle w:val="BodyText"/>
      </w:pPr>
    </w:p>
    <w:p>
      <w:pPr>
        <w:pStyle w:val="CaptionedFigure"/>
      </w:pPr>
      <w:r>
        <w:drawing>
          <wp:inline>
            <wp:extent cx="5504749" cy="4587290"/>
            <wp:effectExtent b="0" l="0" r="0" t="0"/>
            <wp:docPr descr="Fig. 4: Chlorophyll-specific growth rates (µ; d−1) vs. PSII electron flux (JVPSII; µmol e− µmol Chl a−1 d−1) measured under half diel peak PAR growth light. Growth rates (± SE) were estimated from logistic fits of chlorophyll proxy OD680 - OD720 (ΔOD) vs. elapsed time (Fig. S1). JVPSII was estimated using FRRf induction curves with excitation at Ex445nm, blue; Ex470nm, blue-green; Ex535nm, green; or Ex590nm, orange; for PC-rich (green circle) or PE-rich (red circle) cultures of Synechococcus sp. Data show situations in which cultures were excited by, and growing in, corresponding growth wavebands of 450, 470, 530, or 620 nm and 250 µM [O2] (open symbols and dashed line) or 2.5 µM [O2] (closed symbols and solid line). Blue lines (solid for 2.5 µM [O2] or dashed for 250 µM O2) show linear model fit for data from each strain across spectral wavebands. Different blue lowercase letters indicate statistically significant differences between the fit models for different [O2] within a given strain. Different blue uppercase letters indicate statistically significant differences between the fit models for different strains within a given [O2] (t-test; p &lt; 0.05)." title="" id="49" name="Picture"/>
            <a:graphic>
              <a:graphicData uri="http://schemas.openxmlformats.org/drawingml/2006/picture">
                <pic:pic>
                  <pic:nvPicPr>
                    <pic:cNvPr descr="../Output/Figures/Fig_GrowthRateJVPSII.png" id="50" name="Picture"/>
                    <pic:cNvPicPr>
                      <a:picLocks noChangeArrowheads="1" noChangeAspect="1"/>
                    </pic:cNvPicPr>
                  </pic:nvPicPr>
                  <pic:blipFill>
                    <a:blip r:embed="rId4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bookmarkStart w:id="51" w:name="fig:GrowthRateJVPSII"/>
      <w:bookmarkEnd w:id="51"/>
      <w:r>
        <w:rPr>
          <w:bCs/>
          <w:b/>
        </w:rPr>
        <w:t xml:space="preserve">Fig.</w:t>
      </w:r>
      <w:r>
        <w:rPr>
          <w:bCs/>
          <w:b/>
        </w:rPr>
        <w:t xml:space="preserve"> </w:t>
      </w:r>
      <w:r>
        <w:t xml:space="preserve">4: Chlorophyll-specific growth rates (µ;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half diel peak PAR growth light. Growth rates (± SE)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S1).</w:t>
      </w:r>
      <w:r>
        <w:t xml:space="preserve"> </w:t>
      </w:r>
      <w:r>
        <w:rPr>
          <w:iCs/>
          <w:i/>
        </w:rPr>
        <w:t xml:space="preserve">JV</w:t>
      </w:r>
      <w:r>
        <w:rPr>
          <w:vertAlign w:val="subscript"/>
        </w:rPr>
        <w:t xml:space="preserve">PSII</w:t>
      </w:r>
      <w:r>
        <w:t xml:space="preserve"> </w:t>
      </w:r>
      <w:r>
        <w:t xml:space="preserve">was estimated using FRRf induction curves with excitation at Ex</w:t>
      </w:r>
      <w:r>
        <w:rPr>
          <w:vertAlign w:val="subscript"/>
        </w:rPr>
        <w:t xml:space="preserve">445nm</w:t>
      </w:r>
      <w:r>
        <w:t xml:space="preserve">, blue; Ex</w:t>
      </w:r>
      <w:r>
        <w:rPr>
          <w:vertAlign w:val="subscript"/>
        </w:rPr>
        <w:t xml:space="preserve">470nm</w:t>
      </w:r>
      <w:r>
        <w:t xml:space="preserve">, blue-green; Ex</w:t>
      </w:r>
      <w:r>
        <w:rPr>
          <w:vertAlign w:val="subscript"/>
        </w:rPr>
        <w:t xml:space="preserve">535nm</w:t>
      </w:r>
      <w:r>
        <w:t xml:space="preserve">, green; or Ex</w:t>
      </w:r>
      <w:r>
        <w:rPr>
          <w:vertAlign w:val="subscript"/>
        </w:rPr>
        <w:t xml:space="preserve">590nm</w:t>
      </w:r>
      <w:r>
        <w:t xml:space="preserve">, orange; for PC-rich (green circle) or PE-rich (red circle) cultures of</w:t>
      </w:r>
      <w:r>
        <w:t xml:space="preserve"> </w:t>
      </w:r>
      <w:r>
        <w:rPr>
          <w:iCs/>
          <w:i/>
        </w:rPr>
        <w:t xml:space="preserve">Synechococcus</w:t>
      </w:r>
      <w:r>
        <w:t xml:space="preserve"> </w:t>
      </w:r>
      <w:r>
        <w:t xml:space="preserve">sp. Data show situations in which cultures were excited by, and growing in, corresponding growth wavebands of 450, 470, 530, or 620 nm and 250 µM [O</w:t>
      </w:r>
      <w:r>
        <w:rPr>
          <w:vertAlign w:val="subscript"/>
        </w:rPr>
        <w:t xml:space="preserve">2</w:t>
      </w:r>
      <w:r>
        <w:t xml:space="preserve">] (open symbols and dashed line) or 2.5 µM [O</w:t>
      </w:r>
      <w:r>
        <w:rPr>
          <w:vertAlign w:val="subscript"/>
        </w:rPr>
        <w:t xml:space="preserve">2</w:t>
      </w:r>
      <w:r>
        <w:t xml:space="preserve">] (closed symbols and solid line). Blue lines (solid for 2.5 µM [O</w:t>
      </w:r>
      <w:r>
        <w:rPr>
          <w:vertAlign w:val="subscript"/>
        </w:rPr>
        <w:t xml:space="preserve">2</w:t>
      </w:r>
      <w:r>
        <w:t xml:space="preserve">] or dashed for 250 µM O</w:t>
      </w:r>
      <w:r>
        <w:rPr>
          <w:vertAlign w:val="subscript"/>
        </w:rPr>
        <w:t xml:space="preserve">2</w:t>
      </w:r>
      <w:r>
        <w:t xml:space="preserve">) show linear model fit for data from each strain across spectral wavebands. Different blue lowercase letters indicate statistically significant differences between the fit models for different [O</w:t>
      </w:r>
      <w:r>
        <w:rPr>
          <w:vertAlign w:val="subscript"/>
        </w:rPr>
        <w:t xml:space="preserve">2</w:t>
      </w:r>
      <w:r>
        <w:t xml:space="preserve">] within a given strain. Different blue uppercase letters indicate statistically significant differences between the fit models for different strains within a given [O</w:t>
      </w:r>
      <w:r>
        <w:rPr>
          <w:vertAlign w:val="subscript"/>
        </w:rPr>
        <w:t xml:space="preserve">2</w:t>
      </w:r>
      <w:r>
        <w:t xml:space="preserve">]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BodyText"/>
      </w:pPr>
    </w:p>
    <w:bookmarkEnd w:id="52"/>
    <w:bookmarkEnd w:id="53"/>
    <w:bookmarkStart w:id="54" w:name="conclusions"/>
    <w:p>
      <w:pPr>
        <w:pStyle w:val="Heading1"/>
      </w:pPr>
      <w:r>
        <w:t xml:space="preserve">Conclusions</w:t>
      </w:r>
    </w:p>
    <w:p>
      <w:pPr>
        <w:pStyle w:val="FirstParagraph"/>
      </w:pPr>
    </w:p>
    <w:bookmarkEnd w:id="54"/>
    <w:bookmarkStart w:id="55" w:name="acknowledgements"/>
    <w:p>
      <w:pPr>
        <w:pStyle w:val="Heading1"/>
      </w:pPr>
      <w:r>
        <w:t xml:space="preserve">Acknowledgements</w:t>
      </w:r>
    </w:p>
    <w:p>
      <w:pPr>
        <w:pStyle w:val="FirstParagraph"/>
      </w:pPr>
      <w:r>
        <w:t xml:space="preserve">We thank Naaman Omar for assistance with coding, data analyses and culture maintenance; Miranda Corkum who maintained cultures and trained personnel in culture handling; Laurel Genge, and Carlie Barnhill (Mount Allison students) who assisted with R code.</w:t>
      </w:r>
    </w:p>
    <w:p>
      <w:pPr>
        <w:pStyle w:val="BodyText"/>
      </w:pPr>
    </w:p>
    <w:bookmarkEnd w:id="55"/>
    <w:bookmarkStart w:id="58" w:name="article-information"/>
    <w:p>
      <w:pPr>
        <w:pStyle w:val="Heading1"/>
      </w:pPr>
      <w:r>
        <w:t xml:space="preserve">Article information</w:t>
      </w:r>
    </w:p>
    <w:bookmarkStart w:id="57" w:name="data-availability-statement"/>
    <w:p>
      <w:pPr>
        <w:pStyle w:val="Heading2"/>
      </w:pPr>
      <w:r>
        <w:t xml:space="preserve">Data availability statement</w:t>
      </w:r>
    </w:p>
    <w:p>
      <w:pPr>
        <w:pStyle w:val="FirstParagraph"/>
      </w:pPr>
      <w:r>
        <w:t xml:space="preserve">Data supporting this study is available on:</w:t>
      </w:r>
      <w:r>
        <w:t xml:space="preserve"> </w:t>
      </w:r>
      <w:hyperlink r:id="rId30">
        <w:r>
          <w:rPr>
            <w:rStyle w:val="Hyperlink"/>
          </w:rPr>
          <w:t xml:space="preserve">https://github.com/FundyPhytoPhys/BalticO2</w:t>
        </w:r>
      </w:hyperlink>
      <w:r>
        <w:t xml:space="preserve"> </w:t>
      </w:r>
      <w:r>
        <w:t xml:space="preserve">(public GitHub Repository) and</w:t>
      </w:r>
      <w:r>
        <w:t xml:space="preserve"> </w:t>
      </w:r>
      <w:hyperlink r:id="rId5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0">
        <w:r>
          <w:rPr>
            <w:rStyle w:val="Hyperlink"/>
          </w:rPr>
          <w:t xml:space="preserve">https://github.com/FundyPhytoPhys/BalticO2</w:t>
        </w:r>
      </w:hyperlink>
      <w:r>
        <w:t xml:space="preserve">.</w:t>
      </w:r>
    </w:p>
    <w:p>
      <w:pPr>
        <w:pStyle w:val="BodyText"/>
      </w:pPr>
    </w:p>
    <w:bookmarkEnd w:id="57"/>
    <w:bookmarkEnd w:id="58"/>
    <w:bookmarkStart w:id="66" w:name="author-information"/>
    <w:p>
      <w:pPr>
        <w:pStyle w:val="Heading1"/>
      </w:pPr>
      <w:r>
        <w:t xml:space="preserve">Author information</w:t>
      </w:r>
    </w:p>
    <w:bookmarkStart w:id="62" w:name="author-orcids"/>
    <w:p>
      <w:pPr>
        <w:pStyle w:val="Heading2"/>
      </w:pPr>
      <w:r>
        <w:t xml:space="preserve">Author ORCIDs</w:t>
      </w:r>
    </w:p>
    <w:p>
      <w:pPr>
        <w:pStyle w:val="FirstParagraph"/>
      </w:pPr>
      <w:r>
        <w:t xml:space="preserve">Sylwia Śliwińska-Wilczewska</w:t>
      </w:r>
      <w:r>
        <w:t xml:space="preserve"> </w:t>
      </w:r>
      <w:hyperlink r:id="rId59">
        <w:r>
          <w:rPr>
            <w:rStyle w:val="Hyperlink"/>
          </w:rPr>
          <w:t xml:space="preserve">https://orcid.org/0000-0002-3147-6605</w:t>
        </w:r>
      </w:hyperlink>
      <w:r>
        <w:t xml:space="preserve"> </w:t>
      </w:r>
      <w:r>
        <w:t xml:space="preserve">Mireille Savoie</w:t>
      </w:r>
      <w:r>
        <w:t xml:space="preserve"> </w:t>
      </w:r>
      <w:hyperlink r:id="rId60">
        <w:r>
          <w:rPr>
            <w:rStyle w:val="Hyperlink"/>
          </w:rPr>
          <w:t xml:space="preserve">https://orcid.org/0009-0009-9499-6657</w:t>
        </w:r>
      </w:hyperlink>
      <w:r>
        <w:t xml:space="preserve"> </w:t>
      </w:r>
      <w:r>
        <w:t xml:space="preserve">Douglas A. Campbell</w:t>
      </w:r>
      <w:r>
        <w:t xml:space="preserve"> </w:t>
      </w:r>
      <w:hyperlink r:id="rId61">
        <w:r>
          <w:rPr>
            <w:rStyle w:val="Hyperlink"/>
          </w:rPr>
          <w:t xml:space="preserve">https://orcid.org/0000-0001-8996-5463</w:t>
        </w:r>
      </w:hyperlink>
    </w:p>
    <w:p>
      <w:pPr>
        <w:pStyle w:val="BodyText"/>
      </w:pPr>
    </w:p>
    <w:bookmarkEnd w:id="62"/>
    <w:bookmarkStart w:id="63" w:name="author-contributions"/>
    <w:p>
      <w:pPr>
        <w:pStyle w:val="Heading2"/>
      </w:pPr>
      <w:r>
        <w:t xml:space="preserve">Author contributions</w:t>
      </w:r>
    </w:p>
    <w:p>
      <w:pPr>
        <w:pStyle w:val="FirstParagraph"/>
      </w:pPr>
      <w:r>
        <w:t xml:space="preserve">Conceptualization: SSW, DAC</w:t>
      </w:r>
      <w:r>
        <w:t xml:space="preserve"> </w:t>
      </w:r>
      <w:r>
        <w:t xml:space="preserve">Data curation: SSW</w:t>
      </w:r>
      <w:r>
        <w:t xml:space="preserve"> </w:t>
      </w:r>
      <w:r>
        <w:t xml:space="preserve">Formal analysis: SSW, MS, DAC</w:t>
      </w:r>
      <w:r>
        <w:t xml:space="preserve"> </w:t>
      </w:r>
      <w:r>
        <w:t xml:space="preserve">Funding acquisition: DAC</w:t>
      </w:r>
      <w:r>
        <w:t xml:space="preserve"> </w:t>
      </w:r>
      <w:r>
        <w:t xml:space="preserve">Investigation: SSW</w:t>
      </w:r>
      <w:r>
        <w:t xml:space="preserve"> </w:t>
      </w:r>
      <w:r>
        <w:t xml:space="preserve">Methodology: SSW, MS, DAC</w:t>
      </w:r>
      <w:r>
        <w:t xml:space="preserve"> </w:t>
      </w:r>
      <w:r>
        <w:t xml:space="preserve">Project administration: DAC</w:t>
      </w:r>
      <w:r>
        <w:t xml:space="preserve"> </w:t>
      </w:r>
      <w:r>
        <w:t xml:space="preserve">Resources: DAC</w:t>
      </w:r>
      <w:r>
        <w:t xml:space="preserve"> </w:t>
      </w:r>
      <w:r>
        <w:t xml:space="preserve">Supervision: DAC</w:t>
      </w:r>
      <w:r>
        <w:t xml:space="preserve"> </w:t>
      </w:r>
      <w:r>
        <w:t xml:space="preserve">Validation: SSW, MS, DAC</w:t>
      </w:r>
      <w:r>
        <w:t xml:space="preserve"> </w:t>
      </w:r>
      <w:r>
        <w:t xml:space="preserve">Visualization: SSW</w:t>
      </w:r>
      <w:r>
        <w:t xml:space="preserve"> </w:t>
      </w:r>
      <w:r>
        <w:t xml:space="preserve">Writing – original draft: SSW, MS, DAC</w:t>
      </w:r>
    </w:p>
    <w:p>
      <w:pPr>
        <w:pStyle w:val="BodyText"/>
      </w:pPr>
    </w:p>
    <w:bookmarkEnd w:id="63"/>
    <w:bookmarkStart w:id="64" w:name="competing-interests"/>
    <w:p>
      <w:pPr>
        <w:pStyle w:val="Heading2"/>
      </w:pPr>
      <w:r>
        <w:t xml:space="preserve">Competing interests</w:t>
      </w:r>
    </w:p>
    <w:p>
      <w:pPr>
        <w:pStyle w:val="FirstParagraph"/>
      </w:pPr>
      <w:r>
        <w:t xml:space="preserve">The authors declare there are no competing interests.</w:t>
      </w:r>
    </w:p>
    <w:p>
      <w:pPr>
        <w:pStyle w:val="BodyText"/>
      </w:pPr>
    </w:p>
    <w:bookmarkEnd w:id="64"/>
    <w:bookmarkStart w:id="65" w:name="funding-information"/>
    <w:p>
      <w:pPr>
        <w:pStyle w:val="Heading2"/>
      </w:pPr>
      <w:r>
        <w:t xml:space="preserve">Funding information</w:t>
      </w:r>
    </w:p>
    <w:p>
      <w:pPr>
        <w:pStyle w:val="FirstParagraph"/>
      </w:pPr>
      <w:r>
        <w:t xml:space="preserve">This work was supported by Canada Research Chair in Phytoplankton Ecophysiology (DAC) and Latitude &amp; Light; NSERC of Canada Discovery Grant (DAC).</w:t>
      </w:r>
    </w:p>
    <w:p>
      <w:pPr>
        <w:pStyle w:val="BodyText"/>
      </w:pPr>
    </w:p>
    <w:bookmarkEnd w:id="65"/>
    <w:bookmarkEnd w:id="66"/>
    <w:bookmarkStart w:id="67" w:name="supplementary-material"/>
    <w:p>
      <w:pPr>
        <w:pStyle w:val="Heading1"/>
      </w:pPr>
      <w:r>
        <w:t xml:space="preserve">Supplementary material</w:t>
      </w:r>
    </w:p>
    <w:p>
      <w:pPr>
        <w:pStyle w:val="FirstParagraph"/>
      </w:pPr>
      <w:r>
        <w:t xml:space="preserve">Supplementary data are available with the article at https: //github.com/FundyPhytoPhys/BalticO2.</w:t>
      </w:r>
    </w:p>
    <w:p>
      <w:pPr>
        <w:pStyle w:val="BodyText"/>
      </w:pPr>
    </w:p>
    <w:bookmarkEnd w:id="67"/>
    <w:bookmarkStart w:id="123" w:name="references"/>
    <w:p>
      <w:pPr>
        <w:pStyle w:val="Heading1"/>
      </w:pPr>
      <w:r>
        <w:t xml:space="preserve">References</w:t>
      </w:r>
    </w:p>
    <w:bookmarkStart w:id="122" w:name="refs"/>
    <w:bookmarkStart w:id="69"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68">
        <w:r>
          <w:rPr>
            <w:rStyle w:val="Hyperlink"/>
          </w:rPr>
          <w:t xml:space="preserve">10.1083/jcb.58.2.419</w:t>
        </w:r>
      </w:hyperlink>
      <w:r>
        <w:t xml:space="preserve">.</w:t>
      </w:r>
    </w:p>
    <w:bookmarkEnd w:id="69"/>
    <w:bookmarkStart w:id="70"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70"/>
    <w:bookmarkStart w:id="72"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71">
        <w:r>
          <w:rPr>
            <w:rStyle w:val="Hyperlink"/>
          </w:rPr>
          <w:t xml:space="preserve">10.3389/fmars.2019.00319</w:t>
        </w:r>
      </w:hyperlink>
      <w:r>
        <w:t xml:space="preserve">.</w:t>
      </w:r>
    </w:p>
    <w:bookmarkEnd w:id="72"/>
    <w:bookmarkStart w:id="74"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73">
        <w:r>
          <w:rPr>
            <w:rStyle w:val="Hyperlink"/>
          </w:rPr>
          <w:t xml:space="preserve">10.1126/science.aam7240</w:t>
        </w:r>
      </w:hyperlink>
      <w:r>
        <w:t xml:space="preserve">.</w:t>
      </w:r>
    </w:p>
    <w:bookmarkEnd w:id="74"/>
    <w:bookmarkStart w:id="76" w:name="Xf6300e73b5ebe220725241cc43cc30516dd15a5"/>
    <w:p>
      <w:pPr>
        <w:pStyle w:val="Bibliography"/>
      </w:pPr>
      <w:r>
        <w:t xml:space="preserve">Campbell, D., Clarke, A.K., Gustafsson, P., and Öquist, G. 1999. Oxygen-dependent electron flow influences photosystem</w:t>
      </w:r>
      <w:r>
        <w:t xml:space="preserve"> </w:t>
      </w:r>
      <w:r>
        <w:t xml:space="preserve">II</w:t>
      </w:r>
      <w:r>
        <w:t xml:space="preserve"> </w:t>
      </w:r>
      <w:r>
        <w:t xml:space="preserve">function and</w:t>
      </w:r>
      <w:r>
        <w:t xml:space="preserve"> </w:t>
      </w:r>
      <w:r>
        <w:t xml:space="preserve">psbA</w:t>
      </w:r>
      <w:r>
        <w:t xml:space="preserve"> </w:t>
      </w:r>
      <w:r>
        <w:t xml:space="preserve">gene expression in the cyanobacterium</w:t>
      </w:r>
      <w:r>
        <w:t xml:space="preserve"> </w:t>
      </w:r>
      <w:r>
        <w:t xml:space="preserve">Synechococcus</w:t>
      </w:r>
      <w:r>
        <w:t xml:space="preserve"> </w:t>
      </w:r>
      <w:r>
        <w:t xml:space="preserve">sp.</w:t>
      </w:r>
      <w:r>
        <w:t xml:space="preserve"> </w:t>
      </w:r>
      <w:r>
        <w:t xml:space="preserve">PCC</w:t>
      </w:r>
      <w:r>
        <w:t xml:space="preserve"> </w:t>
      </w:r>
      <w:r>
        <w:t xml:space="preserve">7942. Physiologia Plantarum</w:t>
      </w:r>
      <w:r>
        <w:t xml:space="preserve"> </w:t>
      </w:r>
      <w:r>
        <w:rPr>
          <w:bCs/>
          <w:b/>
        </w:rPr>
        <w:t xml:space="preserve">105</w:t>
      </w:r>
      <w:r>
        <w:t xml:space="preserve">(4): 746–755. doi:</w:t>
      </w:r>
      <w:hyperlink r:id="rId75">
        <w:r>
          <w:rPr>
            <w:rStyle w:val="Hyperlink"/>
          </w:rPr>
          <w:t xml:space="preserve">10.1034/j.1399-3054.1999.105420.x</w:t>
        </w:r>
      </w:hyperlink>
      <w:r>
        <w:t xml:space="preserve">.</w:t>
      </w:r>
    </w:p>
    <w:bookmarkEnd w:id="76"/>
    <w:bookmarkStart w:id="77"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77"/>
    <w:bookmarkStart w:id="78"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78"/>
    <w:bookmarkStart w:id="80"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79">
        <w:r>
          <w:rPr>
            <w:rStyle w:val="Hyperlink"/>
          </w:rPr>
          <w:t xml:space="preserve">10.1073/pnas.1307701110</w:t>
        </w:r>
      </w:hyperlink>
      <w:r>
        <w:t xml:space="preserve">.</w:t>
      </w:r>
    </w:p>
    <w:bookmarkEnd w:id="80"/>
    <w:bookmarkStart w:id="82"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81">
        <w:r>
          <w:rPr>
            <w:rStyle w:val="Hyperlink"/>
          </w:rPr>
          <w:t xml:space="preserve">10.1007/978-1-4615-8714-9_3</w:t>
        </w:r>
      </w:hyperlink>
      <w:r>
        <w:t xml:space="preserve">.</w:t>
      </w:r>
    </w:p>
    <w:bookmarkEnd w:id="82"/>
    <w:bookmarkStart w:id="83"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83"/>
    <w:bookmarkStart w:id="85" w:name="X1954e7187a8c539f651c78a7bb5a5dedd9de8fd"/>
    <w:p>
      <w:pPr>
        <w:pStyle w:val="Bibliography"/>
      </w:pPr>
      <w:r>
        <w:t xml:space="preserve">Haverkamp, T.H.A., Schouten, D., Doeleman, M., Wollenzien, U., Huisman, J., and Stal, L.J. 2009.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(4): 397–408. doi:</w:t>
      </w:r>
      <w:hyperlink r:id="rId84">
        <w:r>
          <w:rPr>
            <w:rStyle w:val="Hyperlink"/>
          </w:rPr>
          <w:t xml:space="preserve">10.1038/ismej.2008.118</w:t>
        </w:r>
      </w:hyperlink>
      <w:r>
        <w:t xml:space="preserve">.</w:t>
      </w:r>
    </w:p>
    <w:bookmarkEnd w:id="85"/>
    <w:bookmarkStart w:id="87" w:name="ref-hughesRoadmapsDetoursActive2018"/>
    <w:p>
      <w:pPr>
        <w:pStyle w:val="Bibliography"/>
      </w:pPr>
      <w:r>
        <w:t xml:space="preserve">Hughes, D.J., Campbell, D.A., Doblin, M.A., Kromkamp, J.C., Lawrenz, E., Moore, C.M., Oxborough, K., Prášil, O., Ralph, P.J., Alvarez, M.F., and Suggett, D.J. 2018. Roadmaps and</w:t>
      </w:r>
      <w:r>
        <w:t xml:space="preserve"> </w:t>
      </w:r>
      <w:r>
        <w:t xml:space="preserve">Detours</w:t>
      </w:r>
      <w:r>
        <w:t xml:space="preserve">:</w:t>
      </w:r>
      <w:r>
        <w:t xml:space="preserve"> </w:t>
      </w:r>
      <w:r>
        <w:t xml:space="preserve">Active Chlorophyll-a Assessments</w:t>
      </w:r>
      <w:r>
        <w:t xml:space="preserve"> </w:t>
      </w:r>
      <w:r>
        <w:t xml:space="preserve">of</w:t>
      </w:r>
      <w:r>
        <w:t xml:space="preserve"> </w:t>
      </w:r>
      <w:r>
        <w:t xml:space="preserve">Primary Productivity Across Marine</w:t>
      </w:r>
      <w:r>
        <w:t xml:space="preserve"> </w:t>
      </w:r>
      <w:r>
        <w:t xml:space="preserve">and</w:t>
      </w:r>
      <w:r>
        <w:t xml:space="preserve"> </w:t>
      </w:r>
      <w:r>
        <w:t xml:space="preserve">Freshwater Systems</w:t>
      </w:r>
      <w:r>
        <w:t xml:space="preserve">. Environmental Science &amp; Technology</w:t>
      </w:r>
      <w:r>
        <w:t xml:space="preserve"> </w:t>
      </w:r>
      <w:r>
        <w:rPr>
          <w:bCs/>
          <w:b/>
        </w:rPr>
        <w:t xml:space="preserve">52</w:t>
      </w:r>
      <w:r>
        <w:t xml:space="preserve">(21): 12039–12054. American Chemical Society. doi:</w:t>
      </w:r>
      <w:hyperlink r:id="rId86">
        <w:r>
          <w:rPr>
            <w:rStyle w:val="Hyperlink"/>
          </w:rPr>
          <w:t xml:space="preserve">10.1021/acs.est.8b03488</w:t>
        </w:r>
      </w:hyperlink>
      <w:r>
        <w:t xml:space="preserve">.</w:t>
      </w:r>
    </w:p>
    <w:bookmarkEnd w:id="87"/>
    <w:bookmarkStart w:id="89"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88">
        <w:r>
          <w:rPr>
            <w:rStyle w:val="Hyperlink"/>
          </w:rPr>
          <w:t xml:space="preserve">10.1016/j.jphotobiol.2005.10.002</w:t>
        </w:r>
      </w:hyperlink>
      <w:r>
        <w:t xml:space="preserve">.</w:t>
      </w:r>
    </w:p>
    <w:bookmarkEnd w:id="89"/>
    <w:bookmarkStart w:id="91"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90">
        <w:r>
          <w:rPr>
            <w:rStyle w:val="Hyperlink"/>
          </w:rPr>
          <w:t xml:space="preserve">10.1016/S0005-2728(98)00135-2</w:t>
        </w:r>
      </w:hyperlink>
      <w:r>
        <w:t xml:space="preserve">.</w:t>
      </w:r>
    </w:p>
    <w:bookmarkEnd w:id="91"/>
    <w:bookmarkStart w:id="92" w:name="ref-latalaCultureCollectionBaltic2006"/>
    <w:p>
      <w:pPr>
        <w:pStyle w:val="Bibliography"/>
      </w:pPr>
      <w:r>
        <w:t xml:space="preserve">Latala, A., Jodlowska, S., and Pniewski, F. 2006. Culture</w:t>
      </w:r>
      <w:r>
        <w:t xml:space="preserve"> </w:t>
      </w:r>
      <w:r>
        <w:t xml:space="preserve">Collection</w:t>
      </w:r>
      <w:r>
        <w:t xml:space="preserve"> </w:t>
      </w:r>
      <w:r>
        <w:t xml:space="preserve">of</w:t>
      </w:r>
      <w:r>
        <w:t xml:space="preserve"> </w:t>
      </w:r>
      <w:r>
        <w:t xml:space="preserve">Baltic Algae</w:t>
      </w:r>
      <w:r>
        <w:t xml:space="preserve"> </w:t>
      </w:r>
      <w:r>
        <w:t xml:space="preserve">(</w:t>
      </w:r>
      <w:r>
        <w:t xml:space="preserve">CCBA</w:t>
      </w:r>
      <w:r>
        <w:t xml:space="preserve">) and characteristic of some strains by factorial experiment approach. Archiv fur Hydrobiologie</w:t>
      </w:r>
      <w:r>
        <w:t xml:space="preserve"> </w:t>
      </w:r>
      <w:r>
        <w:rPr>
          <w:bCs/>
          <w:b/>
        </w:rPr>
        <w:t xml:space="preserve">122</w:t>
      </w:r>
      <w:r>
        <w:t xml:space="preserve">: 137–154. [accessed 19 June 2024].</w:t>
      </w:r>
    </w:p>
    <w:bookmarkEnd w:id="92"/>
    <w:bookmarkStart w:id="94" w:name="Xd6f835e435e0433ef8361f76d16943ca7fccc05"/>
    <w:p>
      <w:pPr>
        <w:pStyle w:val="Bibliography"/>
      </w:pPr>
      <w:r>
        <w:t xml:space="preserve">Murphy, C.D., Roodvoets, M.S., Austen, E.J., Dolan, A., Barnett, A., and Campbell, D.A. 2017.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w:t>
      </w:r>
      <w:r>
        <w:t xml:space="preserve"> </w:t>
      </w:r>
      <w:r>
        <w:rPr>
          <w:bCs/>
          <w:b/>
        </w:rPr>
        <w:t xml:space="preserve">12</w:t>
      </w:r>
      <w:r>
        <w:t xml:space="preserve">(1): e0168991. Public Library of Science. doi:</w:t>
      </w:r>
      <w:hyperlink r:id="rId93">
        <w:r>
          <w:rPr>
            <w:rStyle w:val="Hyperlink"/>
          </w:rPr>
          <w:t xml:space="preserve">10.1371/journal.pone.0168991</w:t>
        </w:r>
      </w:hyperlink>
      <w:r>
        <w:t xml:space="preserve">.</w:t>
      </w:r>
    </w:p>
    <w:bookmarkEnd w:id="94"/>
    <w:bookmarkStart w:id="96"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95">
        <w:r>
          <w:rPr>
            <w:rStyle w:val="Hyperlink"/>
          </w:rPr>
          <w:t xml:space="preserve">10.1023/A:1005936823310</w:t>
        </w:r>
      </w:hyperlink>
      <w:r>
        <w:t xml:space="preserve">.</w:t>
      </w:r>
    </w:p>
    <w:bookmarkEnd w:id="96"/>
    <w:bookmarkStart w:id="98"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97">
        <w:r>
          <w:rPr>
            <w:rStyle w:val="Hyperlink"/>
          </w:rPr>
          <w:t xml:space="preserve">10.4319/lom.2012.10.142</w:t>
        </w:r>
      </w:hyperlink>
      <w:r>
        <w:t xml:space="preserve">.</w:t>
      </w:r>
    </w:p>
    <w:bookmarkEnd w:id="98"/>
    <w:bookmarkStart w:id="99"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99"/>
    <w:bookmarkStart w:id="101" w:name="ref-posit"/>
    <w:p>
      <w:pPr>
        <w:pStyle w:val="Bibliography"/>
      </w:pPr>
      <w:r>
        <w:t xml:space="preserve">Posit team. 2022. RStudio: Integrated development environment for r. Posit Software, PBC, Boston, MA. Available from</w:t>
      </w:r>
      <w:r>
        <w:t xml:space="preserve"> </w:t>
      </w:r>
      <w:hyperlink r:id="rId100">
        <w:r>
          <w:rPr>
            <w:rStyle w:val="Hyperlink"/>
          </w:rPr>
          <w:t xml:space="preserve">http://www.posit.co/</w:t>
        </w:r>
      </w:hyperlink>
      <w:r>
        <w:t xml:space="preserve">.</w:t>
      </w:r>
    </w:p>
    <w:bookmarkEnd w:id="101"/>
    <w:bookmarkStart w:id="103" w:name="ref-rcore"/>
    <w:p>
      <w:pPr>
        <w:pStyle w:val="Bibliography"/>
      </w:pPr>
      <w:r>
        <w:t xml:space="preserve">R Core Team. 2023. R: A language and environment for statistical computing. R Foundation for Statistical Computing, Vienna, Austria. Available from</w:t>
      </w:r>
      <w:r>
        <w:t xml:space="preserve"> </w:t>
      </w:r>
      <w:hyperlink r:id="rId102">
        <w:r>
          <w:rPr>
            <w:rStyle w:val="Hyperlink"/>
          </w:rPr>
          <w:t xml:space="preserve">https://www.R-project.org/</w:t>
        </w:r>
      </w:hyperlink>
      <w:r>
        <w:t xml:space="preserve">.</w:t>
      </w:r>
    </w:p>
    <w:bookmarkEnd w:id="103"/>
    <w:bookmarkStart w:id="105" w:name="Xb08e6c3e9b838f57efffe54573ae3f42a71b21a"/>
    <w:p>
      <w:pPr>
        <w:pStyle w:val="Bibliography"/>
      </w:pPr>
      <w:r>
        <w:t xml:space="preserve">Śliwińska-Wilczewska, S., Cieszyńska, A., Maculewicz, J., and Latała, 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(20): 6257–6276. Copernicus GmbH. doi:</w:t>
      </w:r>
      <w:hyperlink r:id="rId104">
        <w:r>
          <w:rPr>
            <w:rStyle w:val="Hyperlink"/>
          </w:rPr>
          <w:t xml:space="preserve">10.5194/bg-15-6257-2018</w:t>
        </w:r>
      </w:hyperlink>
      <w:r>
        <w:t xml:space="preserve">.</w:t>
      </w:r>
    </w:p>
    <w:bookmarkEnd w:id="105"/>
    <w:bookmarkStart w:id="107"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06">
        <w:r>
          <w:rPr>
            <w:rStyle w:val="Hyperlink"/>
          </w:rPr>
          <w:t xml:space="preserve">DOI: http://dx.doi.org/10.25607/OBP-1791</w:t>
        </w:r>
      </w:hyperlink>
      <w:r>
        <w:t xml:space="preserve">.</w:t>
      </w:r>
    </w:p>
    <w:bookmarkEnd w:id="107"/>
    <w:bookmarkStart w:id="109"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08">
        <w:r>
          <w:rPr>
            <w:rStyle w:val="Hyperlink"/>
          </w:rPr>
          <w:t xml:space="preserve">10.25607/OBP-1084</w:t>
        </w:r>
      </w:hyperlink>
      <w:r>
        <w:t xml:space="preserve">.</w:t>
      </w:r>
    </w:p>
    <w:bookmarkEnd w:id="109"/>
    <w:bookmarkStart w:id="111"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10">
        <w:r>
          <w:rPr>
            <w:rStyle w:val="Hyperlink"/>
          </w:rPr>
          <w:t xml:space="preserve">10.1073/pnas.1205009109</w:t>
        </w:r>
      </w:hyperlink>
      <w:r>
        <w:t xml:space="preserve">.</w:t>
      </w:r>
    </w:p>
    <w:bookmarkEnd w:id="111"/>
    <w:bookmarkStart w:id="113"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12">
        <w:r>
          <w:rPr>
            <w:rStyle w:val="Hyperlink"/>
          </w:rPr>
          <w:t xml:space="preserve">10.1007/978-3-319-24277-4_9</w:t>
        </w:r>
      </w:hyperlink>
      <w:r>
        <w:t xml:space="preserve">.</w:t>
      </w:r>
    </w:p>
    <w:bookmarkEnd w:id="113"/>
    <w:bookmarkStart w:id="115"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14">
        <w:r>
          <w:rPr>
            <w:rStyle w:val="Hyperlink"/>
          </w:rPr>
          <w:t xml:space="preserve">10.1002/cyto.a.24508</w:t>
        </w:r>
      </w:hyperlink>
      <w:r>
        <w:t xml:space="preserve">.</w:t>
      </w:r>
    </w:p>
    <w:bookmarkEnd w:id="115"/>
    <w:bookmarkStart w:id="117"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16">
        <w:r>
          <w:rPr>
            <w:rStyle w:val="Hyperlink"/>
          </w:rPr>
          <w:t xml:space="preserve">10.1002/lno.12367</w:t>
        </w:r>
      </w:hyperlink>
      <w:r>
        <w:t xml:space="preserve">.</w:t>
      </w:r>
    </w:p>
    <w:bookmarkEnd w:id="117"/>
    <w:bookmarkStart w:id="119"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18">
        <w:r>
          <w:rPr>
            <w:rStyle w:val="Hyperlink"/>
          </w:rPr>
          <w:t xml:space="preserve">10.1016/j.bbabio.2017.03.003</w:t>
        </w:r>
      </w:hyperlink>
      <w:r>
        <w:t xml:space="preserve">.</w:t>
      </w:r>
    </w:p>
    <w:bookmarkEnd w:id="119"/>
    <w:bookmarkStart w:id="121" w:name="ref-xuPhytoplanktonSPSIIExcitation2018"/>
    <w:p>
      <w:pPr>
        <w:pStyle w:val="Bibliography"/>
      </w:pPr>
      <w:r>
        <w:t xml:space="preserve">Xu, K., Lavaud, J., Perkins, R., Austen, E., Bonnanfant, M., and Campbell, D.A.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120">
        <w:r>
          <w:rPr>
            <w:rStyle w:val="Hyperlink"/>
          </w:rPr>
          <w:t xml:space="preserve">10.3389/fmars.2018.00281</w:t>
        </w:r>
      </w:hyperlink>
      <w:r>
        <w:t xml:space="preserve">.</w:t>
      </w:r>
    </w:p>
    <w:bookmarkEnd w:id="121"/>
    <w:bookmarkEnd w:id="122"/>
    <w:bookmarkEnd w:id="123"/>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F5F06"/>
    <w:pPr>
      <w:keepNext/>
      <w:keepLines/>
      <w:spacing w:after="0" w:line="480" w:lineRule="auto"/>
      <w:jc w:val="both"/>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FF5F06"/>
    <w:pPr>
      <w:keepNext/>
      <w:keepLines/>
      <w:spacing w:after="0" w:line="480" w:lineRule="auto"/>
      <w:jc w:val="both"/>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hyperlink" Id="rId106" Target="DOI: http://dx.doi.org/10.25607/OBP-1791" TargetMode="External" /><Relationship Type="http://schemas.openxmlformats.org/officeDocument/2006/relationships/hyperlink" Id="rId100"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114" Target="https://doi.org/10.1002/cyto.a.24508" TargetMode="External" /><Relationship Type="http://schemas.openxmlformats.org/officeDocument/2006/relationships/hyperlink" Id="rId116" Target="https://doi.org/10.1002/lno.12367" TargetMode="External" /><Relationship Type="http://schemas.openxmlformats.org/officeDocument/2006/relationships/hyperlink" Id="rId81" Target="https://doi.org/10.1007/978-1-4615-8714-9_3" TargetMode="External" /><Relationship Type="http://schemas.openxmlformats.org/officeDocument/2006/relationships/hyperlink" Id="rId112" Target="https://doi.org/10.1007/978-3-319-24277-4_9" TargetMode="External" /><Relationship Type="http://schemas.openxmlformats.org/officeDocument/2006/relationships/hyperlink" Id="rId90" Target="https://doi.org/10.1016/S0005-2728(98)00135-2" TargetMode="External" /><Relationship Type="http://schemas.openxmlformats.org/officeDocument/2006/relationships/hyperlink" Id="rId118" Target="https://doi.org/10.1016/j.bbabio.2017.03.003" TargetMode="External" /><Relationship Type="http://schemas.openxmlformats.org/officeDocument/2006/relationships/hyperlink" Id="rId88" Target="https://doi.org/10.1016/j.jphotobiol.2005.10.002" TargetMode="External" /><Relationship Type="http://schemas.openxmlformats.org/officeDocument/2006/relationships/hyperlink" Id="rId86" Target="https://doi.org/10.1021/acs.est.8b03488" TargetMode="External" /><Relationship Type="http://schemas.openxmlformats.org/officeDocument/2006/relationships/hyperlink" Id="rId95" Target="https://doi.org/10.1023/A:1005936823310" TargetMode="External" /><Relationship Type="http://schemas.openxmlformats.org/officeDocument/2006/relationships/hyperlink" Id="rId75" Target="https://doi.org/10.1034/j.1399-3054.1999.105420.x" TargetMode="External" /><Relationship Type="http://schemas.openxmlformats.org/officeDocument/2006/relationships/hyperlink" Id="rId84" Target="https://doi.org/10.1038/ismej.2008.118" TargetMode="External" /><Relationship Type="http://schemas.openxmlformats.org/officeDocument/2006/relationships/hyperlink" Id="rId110" Target="https://doi.org/10.1073/pnas.1205009109" TargetMode="External" /><Relationship Type="http://schemas.openxmlformats.org/officeDocument/2006/relationships/hyperlink" Id="rId79" Target="https://doi.org/10.1073/pnas.1307701110" TargetMode="External" /><Relationship Type="http://schemas.openxmlformats.org/officeDocument/2006/relationships/hyperlink" Id="rId68" Target="https://doi.org/10.1083/jcb.58.2.419" TargetMode="External" /><Relationship Type="http://schemas.openxmlformats.org/officeDocument/2006/relationships/hyperlink" Id="rId73" Target="https://doi.org/10.1126/science.aam7240" TargetMode="External" /><Relationship Type="http://schemas.openxmlformats.org/officeDocument/2006/relationships/hyperlink" Id="rId93" Target="https://doi.org/10.1371/journal.pone.0168991" TargetMode="External" /><Relationship Type="http://schemas.openxmlformats.org/officeDocument/2006/relationships/hyperlink" Id="rId108" Target="https://doi.org/10.25607/OBP-1084" TargetMode="External" /><Relationship Type="http://schemas.openxmlformats.org/officeDocument/2006/relationships/hyperlink" Id="rId120" Target="https://doi.org/10.3389/fmars.2018.00281" TargetMode="External" /><Relationship Type="http://schemas.openxmlformats.org/officeDocument/2006/relationships/hyperlink" Id="rId71" Target="https://doi.org/10.3389/fmars.2019.00319" TargetMode="External" /><Relationship Type="http://schemas.openxmlformats.org/officeDocument/2006/relationships/hyperlink" Id="rId97" Target="https://doi.org/10.4319/lom.2012.10.142" TargetMode="External" /><Relationship Type="http://schemas.openxmlformats.org/officeDocument/2006/relationships/hyperlink" Id="rId104"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1" Target="https://orcid.org/0000-0001-8996-5463" TargetMode="External" /><Relationship Type="http://schemas.openxmlformats.org/officeDocument/2006/relationships/hyperlink" Id="rId59" Target="https://orcid.org/0000-0002-3147-6605" TargetMode="External" /><Relationship Type="http://schemas.openxmlformats.org/officeDocument/2006/relationships/hyperlink" Id="rId60" Target="https://orcid.org/0009-0009-9499-6657" TargetMode="External" /><Relationship Type="http://schemas.openxmlformats.org/officeDocument/2006/relationships/hyperlink" Id="rId102"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06" Target="DOI: http://dx.doi.org/10.25607/OBP-1791" TargetMode="External" /><Relationship Type="http://schemas.openxmlformats.org/officeDocument/2006/relationships/hyperlink" Id="rId100"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56" Target="https://docs.google.com/spreadsheets/d/1ZXpwR7Gfto-uRzVdXzMpQF4frbrvMLH_IyLqonFZRSw/edit#gid=0" TargetMode="External" /><Relationship Type="http://schemas.openxmlformats.org/officeDocument/2006/relationships/hyperlink" Id="rId114" Target="https://doi.org/10.1002/cyto.a.24508" TargetMode="External" /><Relationship Type="http://schemas.openxmlformats.org/officeDocument/2006/relationships/hyperlink" Id="rId116" Target="https://doi.org/10.1002/lno.12367" TargetMode="External" /><Relationship Type="http://schemas.openxmlformats.org/officeDocument/2006/relationships/hyperlink" Id="rId81" Target="https://doi.org/10.1007/978-1-4615-8714-9_3" TargetMode="External" /><Relationship Type="http://schemas.openxmlformats.org/officeDocument/2006/relationships/hyperlink" Id="rId112" Target="https://doi.org/10.1007/978-3-319-24277-4_9" TargetMode="External" /><Relationship Type="http://schemas.openxmlformats.org/officeDocument/2006/relationships/hyperlink" Id="rId90" Target="https://doi.org/10.1016/S0005-2728(98)00135-2" TargetMode="External" /><Relationship Type="http://schemas.openxmlformats.org/officeDocument/2006/relationships/hyperlink" Id="rId118" Target="https://doi.org/10.1016/j.bbabio.2017.03.003" TargetMode="External" /><Relationship Type="http://schemas.openxmlformats.org/officeDocument/2006/relationships/hyperlink" Id="rId88" Target="https://doi.org/10.1016/j.jphotobiol.2005.10.002" TargetMode="External" /><Relationship Type="http://schemas.openxmlformats.org/officeDocument/2006/relationships/hyperlink" Id="rId86" Target="https://doi.org/10.1021/acs.est.8b03488" TargetMode="External" /><Relationship Type="http://schemas.openxmlformats.org/officeDocument/2006/relationships/hyperlink" Id="rId95" Target="https://doi.org/10.1023/A:1005936823310" TargetMode="External" /><Relationship Type="http://schemas.openxmlformats.org/officeDocument/2006/relationships/hyperlink" Id="rId75" Target="https://doi.org/10.1034/j.1399-3054.1999.105420.x" TargetMode="External" /><Relationship Type="http://schemas.openxmlformats.org/officeDocument/2006/relationships/hyperlink" Id="rId84" Target="https://doi.org/10.1038/ismej.2008.118" TargetMode="External" /><Relationship Type="http://schemas.openxmlformats.org/officeDocument/2006/relationships/hyperlink" Id="rId110" Target="https://doi.org/10.1073/pnas.1205009109" TargetMode="External" /><Relationship Type="http://schemas.openxmlformats.org/officeDocument/2006/relationships/hyperlink" Id="rId79" Target="https://doi.org/10.1073/pnas.1307701110" TargetMode="External" /><Relationship Type="http://schemas.openxmlformats.org/officeDocument/2006/relationships/hyperlink" Id="rId68" Target="https://doi.org/10.1083/jcb.58.2.419" TargetMode="External" /><Relationship Type="http://schemas.openxmlformats.org/officeDocument/2006/relationships/hyperlink" Id="rId73" Target="https://doi.org/10.1126/science.aam7240" TargetMode="External" /><Relationship Type="http://schemas.openxmlformats.org/officeDocument/2006/relationships/hyperlink" Id="rId93" Target="https://doi.org/10.1371/journal.pone.0168991" TargetMode="External" /><Relationship Type="http://schemas.openxmlformats.org/officeDocument/2006/relationships/hyperlink" Id="rId108" Target="https://doi.org/10.25607/OBP-1084" TargetMode="External" /><Relationship Type="http://schemas.openxmlformats.org/officeDocument/2006/relationships/hyperlink" Id="rId120" Target="https://doi.org/10.3389/fmars.2018.00281" TargetMode="External" /><Relationship Type="http://schemas.openxmlformats.org/officeDocument/2006/relationships/hyperlink" Id="rId71" Target="https://doi.org/10.3389/fmars.2019.00319" TargetMode="External" /><Relationship Type="http://schemas.openxmlformats.org/officeDocument/2006/relationships/hyperlink" Id="rId97" Target="https://doi.org/10.4319/lom.2012.10.142" TargetMode="External" /><Relationship Type="http://schemas.openxmlformats.org/officeDocument/2006/relationships/hyperlink" Id="rId104" Target="https://doi.org/10.5194/bg-15-6257-2018" TargetMode="External" /><Relationship Type="http://schemas.openxmlformats.org/officeDocument/2006/relationships/hyperlink" Id="rId30" Target="https://github.com/FundyPhytoPhys/BalticO2" TargetMode="External" /><Relationship Type="http://schemas.openxmlformats.org/officeDocument/2006/relationships/hyperlink" Id="rId61" Target="https://orcid.org/0000-0001-8996-5463" TargetMode="External" /><Relationship Type="http://schemas.openxmlformats.org/officeDocument/2006/relationships/hyperlink" Id="rId59" Target="https://orcid.org/0000-0002-3147-6605" TargetMode="External" /><Relationship Type="http://schemas.openxmlformats.org/officeDocument/2006/relationships/hyperlink" Id="rId60" Target="https://orcid.org/0009-0009-9499-6657" TargetMode="External" /><Relationship Type="http://schemas.openxmlformats.org/officeDocument/2006/relationships/hyperlink" Id="rId102"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and Douglas A. Campbell1,✉</dc:creator>
  <cp:keywords/>
  <dcterms:created xsi:type="dcterms:W3CDTF">2024-06-25T17:16:53Z</dcterms:created>
  <dcterms:modified xsi:type="dcterms:W3CDTF">2024-06-25T17:16:53Z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